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淄博市教育局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2021年政府信息公开工作年度报告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按照市政府办公室《关于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做好2021年政府信息公开工作年度报告编制和发布工作的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通知》要求，编制淄博市教育局202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年政府信息公开工作年度报告，并向社会公布。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  <w:t>一、</w:t>
      </w: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  <w:t>总体情况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000000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000000"/>
          <w:sz w:val="32"/>
          <w:szCs w:val="32"/>
          <w:shd w:val="clear" w:color="auto" w:fill="FFFFFF"/>
        </w:rPr>
        <w:t>(一)主动公开。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2021年度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市教育局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网站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公开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信息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5531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条，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政务公开平台公开信息854条；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“淄博教育发布”微信公众号公开信息696条，微信视频号公开信息200条，抖音号公开信息60条；“淄博教育”今日头条公开信息128条，新浪微博公开信息431条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  <w:t>针对社会关注度高的重要信息，市教育局创新工作方法，经常性组织新闻发布会、记者见面会和通报会，广泛邀请省、市媒体参加，不断提高主动公开的主动性、针对性和时效性。2021年，市教育局共举办新闻发布会10场: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50435" cy="2068195"/>
            <wp:effectExtent l="0" t="0" r="12065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23690" cy="2007870"/>
            <wp:effectExtent l="0" t="0" r="10160" b="1143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24325" cy="2152015"/>
            <wp:effectExtent l="0" t="0" r="9525" b="63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53535" cy="2819400"/>
            <wp:effectExtent l="0" t="0" r="1841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54525" cy="2729865"/>
            <wp:effectExtent l="0" t="0" r="3175" b="1333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57700" cy="2229485"/>
            <wp:effectExtent l="0" t="0" r="0" b="1841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86275" cy="2691765"/>
            <wp:effectExtent l="0" t="0" r="9525" b="1333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tbl>
      <w:tblPr>
        <w:tblStyle w:val="7"/>
        <w:tblW w:w="8820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1680"/>
        <w:gridCol w:w="4740"/>
        <w:gridCol w:w="1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68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</w:rPr>
              <w:t>时间</w:t>
            </w:r>
          </w:p>
        </w:tc>
        <w:tc>
          <w:tcPr>
            <w:tcW w:w="474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  <w:t>主题</w:t>
            </w:r>
          </w:p>
        </w:tc>
        <w:tc>
          <w:tcPr>
            <w:tcW w:w="159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68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4月8日</w:t>
            </w:r>
          </w:p>
        </w:tc>
        <w:tc>
          <w:tcPr>
            <w:tcW w:w="474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我市全面推行小学课后延时服务工作情况新闻发布会</w:t>
            </w:r>
          </w:p>
        </w:tc>
        <w:tc>
          <w:tcPr>
            <w:tcW w:w="159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市政府召开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68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4月21日</w:t>
            </w:r>
          </w:p>
        </w:tc>
        <w:tc>
          <w:tcPr>
            <w:tcW w:w="474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全市中小学体育场地设施向社会开放新闻发布会</w:t>
            </w:r>
          </w:p>
        </w:tc>
        <w:tc>
          <w:tcPr>
            <w:tcW w:w="159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市政府召开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68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6月11日</w:t>
            </w:r>
          </w:p>
        </w:tc>
        <w:tc>
          <w:tcPr>
            <w:tcW w:w="474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“把睡眠管理作为保障学生健康的基础性工作”新闻发布会</w:t>
            </w:r>
          </w:p>
        </w:tc>
        <w:tc>
          <w:tcPr>
            <w:tcW w:w="159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自主召开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68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7月7日</w:t>
            </w:r>
          </w:p>
        </w:tc>
        <w:tc>
          <w:tcPr>
            <w:tcW w:w="474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义务教育招生入学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一网通办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新闻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  <w:t>发布会</w:t>
            </w:r>
          </w:p>
        </w:tc>
        <w:tc>
          <w:tcPr>
            <w:tcW w:w="159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自主召开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68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7月8日</w:t>
            </w:r>
          </w:p>
        </w:tc>
        <w:tc>
          <w:tcPr>
            <w:tcW w:w="474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暑期托管媒体记者见面会</w:t>
            </w:r>
          </w:p>
        </w:tc>
        <w:tc>
          <w:tcPr>
            <w:tcW w:w="159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自主召开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68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7月13日</w:t>
            </w:r>
          </w:p>
        </w:tc>
        <w:tc>
          <w:tcPr>
            <w:tcW w:w="474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“我市在2021年全国职业院校技能大赛中获历史最好成绩”媒体记者见面会</w:t>
            </w:r>
          </w:p>
        </w:tc>
        <w:tc>
          <w:tcPr>
            <w:tcW w:w="159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自主召开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68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8月12日</w:t>
            </w:r>
          </w:p>
        </w:tc>
        <w:tc>
          <w:tcPr>
            <w:tcW w:w="474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淄博市品质民生重大实事项目新闻发布会</w:t>
            </w:r>
          </w:p>
        </w:tc>
        <w:tc>
          <w:tcPr>
            <w:tcW w:w="159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市政府召开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68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10月18日</w:t>
            </w:r>
          </w:p>
        </w:tc>
        <w:tc>
          <w:tcPr>
            <w:tcW w:w="474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全面推行教师岗位分级竞聘改革新闻发布会</w:t>
            </w:r>
          </w:p>
        </w:tc>
        <w:tc>
          <w:tcPr>
            <w:tcW w:w="159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市政府召开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68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12月1日</w:t>
            </w:r>
          </w:p>
        </w:tc>
        <w:tc>
          <w:tcPr>
            <w:tcW w:w="474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“我为群众办实事”主题系列新闻发布会</w:t>
            </w:r>
          </w:p>
        </w:tc>
        <w:tc>
          <w:tcPr>
            <w:tcW w:w="159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市政府召开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</w:trPr>
        <w:tc>
          <w:tcPr>
            <w:tcW w:w="810" w:type="dxa"/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181717" w:themeColor="background2" w:themeShade="1A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68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12月31日</w:t>
            </w:r>
          </w:p>
        </w:tc>
        <w:tc>
          <w:tcPr>
            <w:tcW w:w="474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驻淄高校留淄率媒体通报会</w:t>
            </w:r>
          </w:p>
        </w:tc>
        <w:tc>
          <w:tcPr>
            <w:tcW w:w="1590" w:type="dxa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自主召开</w:t>
            </w:r>
          </w:p>
        </w:tc>
      </w:tr>
    </w:tbl>
    <w:p>
      <w:pPr>
        <w:pStyle w:val="2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淄博市委教育工委常务副书记、市教育局党组书记、局长孙英涛分别就淄博市教育高质量发展和“双减”政策落地实施，接受省新闻媒体专访2次。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81500" cy="2660015"/>
            <wp:effectExtent l="0" t="0" r="0" b="698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06900" cy="2509520"/>
            <wp:effectExtent l="0" t="0" r="12700" b="508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(二)依申请公开。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2021年市教育局共收到7件政府信息申请，其中本机关掌握的3件政府信息全部予以公开，不掌握的4件政府信息均告知获取途径，及时受理率和答复率均达到100%。</w:t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14800" cy="2466975"/>
            <wp:effectExtent l="0" t="0" r="0" b="9525"/>
            <wp:docPr id="4" name="图片 4" descr="16427376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273760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(三)政府信息管理。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市教育局高度重视政府信息安全，</w:t>
      </w:r>
      <w:r>
        <w:rPr>
          <w:rFonts w:hint="eastAsia" w:ascii="仿宋_GB2312" w:hAnsi="仿宋_GB2312" w:eastAsia="仿宋_GB2312" w:cs="仿宋_GB2312"/>
          <w:sz w:val="32"/>
          <w:szCs w:val="32"/>
        </w:rPr>
        <w:t>对政府信息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公开实行全流程管理</w:t>
      </w:r>
      <w:r>
        <w:rPr>
          <w:rFonts w:hint="eastAsia" w:ascii="仿宋_GB2312" w:hAnsi="仿宋_GB2312" w:eastAsia="仿宋_GB2312" w:cs="仿宋_GB2312"/>
          <w:sz w:val="32"/>
          <w:szCs w:val="32"/>
        </w:rPr>
        <w:t>。一是切实做好信息公开保密审查，对拟公开的信息严格按照“先审查、后公开”、“一事一审”和“谁公开、谁审查”的原则做好保密审查;二是规范做好信息公开属性的源头认定，要求各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科</w:t>
      </w:r>
      <w:r>
        <w:rPr>
          <w:rFonts w:hint="eastAsia" w:ascii="仿宋_GB2312" w:hAnsi="仿宋_GB2312" w:eastAsia="仿宋_GB2312" w:cs="仿宋_GB2312"/>
          <w:sz w:val="32"/>
          <w:szCs w:val="32"/>
        </w:rPr>
        <w:t>室一律在各类文函的起草环节明确信息公开属性，拟定为“不予公开”的要有充分的法律、法规、规章或上级规范性文件等作为依据;三是认真做好规范性文件的动态管理，每年根据立、改、废等情况，结合工作实际，对规范性文件进行一次清理并及时公开清理结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(四)政府信息公开平台建设。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市教育局</w:t>
      </w:r>
      <w:r>
        <w:rPr>
          <w:rFonts w:hint="eastAsia" w:ascii="仿宋_GB2312" w:hAnsi="仿宋_GB2312" w:eastAsia="仿宋_GB2312" w:cs="仿宋_GB2312"/>
          <w:sz w:val="32"/>
          <w:szCs w:val="32"/>
        </w:rPr>
        <w:t>把网站、微信、微博、抖音、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今日头条</w:t>
      </w:r>
      <w:r>
        <w:rPr>
          <w:rFonts w:hint="eastAsia" w:ascii="仿宋_GB2312" w:hAnsi="仿宋_GB2312" w:eastAsia="仿宋_GB2312" w:cs="仿宋_GB2312"/>
          <w:sz w:val="32"/>
          <w:szCs w:val="32"/>
        </w:rPr>
        <w:t>等多个平台形成的“媒体矩阵”作为政府信息公开平台，及时发布信息，主动解读政策，正面引导舆论，为教育事业发展营造良好的环境和氛围。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市教育局</w:t>
      </w:r>
      <w:r>
        <w:rPr>
          <w:rFonts w:hint="eastAsia" w:ascii="仿宋_GB2312" w:hAnsi="仿宋_GB2312" w:eastAsia="仿宋_GB2312" w:cs="仿宋_GB2312"/>
          <w:sz w:val="32"/>
          <w:szCs w:val="32"/>
        </w:rPr>
        <w:t>微信公众号“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淄博</w:t>
      </w:r>
      <w:r>
        <w:rPr>
          <w:rFonts w:hint="eastAsia" w:ascii="仿宋_GB2312" w:hAnsi="仿宋_GB2312" w:eastAsia="仿宋_GB2312" w:cs="仿宋_GB2312"/>
          <w:sz w:val="32"/>
          <w:szCs w:val="32"/>
        </w:rPr>
        <w:t>教育发布”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在全市新媒体账号竞赛活动中取得第一名的好成绩。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(五)监督保障。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人员机构方面: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市教育局</w:t>
      </w:r>
      <w:r>
        <w:rPr>
          <w:rFonts w:hint="eastAsia" w:ascii="仿宋_GB2312" w:hAnsi="仿宋_GB2312" w:eastAsia="仿宋_GB2312" w:cs="仿宋_GB2312"/>
          <w:sz w:val="32"/>
          <w:szCs w:val="32"/>
        </w:rPr>
        <w:t>办公室是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政府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信息公开工作机构，目前有专职工作人员1人，兼职工作人员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人，负责机关政务公开工作，指导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全市</w:t>
      </w:r>
      <w:r>
        <w:rPr>
          <w:rFonts w:hint="eastAsia" w:ascii="仿宋_GB2312" w:hAnsi="仿宋_GB2312" w:eastAsia="仿宋_GB2312" w:cs="仿宋_GB2312"/>
          <w:sz w:val="32"/>
          <w:szCs w:val="32"/>
        </w:rPr>
        <w:t>教育系统政务公开工作，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承担政务公开工作领导小组日常工作。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监督指导方面:今年4月份，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根据省教育厅对全省县域政务公开工作的抽查结果和问题通报，对淄川区的整改落实进行了指导、督导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今年12月份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按照省教育厅统一部署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教育局下发《关于抓好义务教育领域基层政务公开标准指引落实工作的紧急通知》，要求各区县、功能区对照《义务教育领域基层政务公开标准目录》中的全部内容，逐项梳理，建立整改台账，确保工作无脱节、无疏漏、无闪失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业务培训方面: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市教育局</w:t>
      </w:r>
      <w:r>
        <w:rPr>
          <w:rFonts w:hint="eastAsia" w:ascii="仿宋_GB2312" w:hAnsi="仿宋_GB2312" w:eastAsia="仿宋_GB2312" w:cs="仿宋_GB2312"/>
          <w:sz w:val="32"/>
          <w:szCs w:val="32"/>
        </w:rPr>
        <w:t>编制了《2021年政务公开培训计划》，并在网站公开进行了发布(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链接</w:t>
      </w:r>
      <w:r>
        <w:rPr>
          <w:rFonts w:hint="eastAsia" w:ascii="仿宋_GB2312" w:hAnsi="仿宋_GB2312" w:eastAsia="仿宋_GB2312" w:cs="仿宋_GB2312"/>
          <w:sz w:val="32"/>
          <w:szCs w:val="32"/>
        </w:rPr>
        <w:t>:http://edu.zibo.gov.cn/gongkai/channel_c_5f9fa491ab327f36e4c1307f_n_1606588140.0779/doc_61c689957b4955f6beed3253.html)。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市教育局政务公开工作人员参加省教育厅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相关业务培训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市政府相关业务培训3次。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200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二、主动公开政府信息情况</w:t>
      </w:r>
    </w:p>
    <w:tbl>
      <w:tblPr>
        <w:tblStyle w:val="7"/>
        <w:tblW w:w="88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6"/>
        <w:gridCol w:w="1972"/>
        <w:gridCol w:w="2017"/>
        <w:gridCol w:w="2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8931" w:type="dxa"/>
            <w:gridSpan w:val="4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本年</w:t>
            </w: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制发件数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本年废止件数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2694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规章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694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行政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规范性文件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8931" w:type="dxa"/>
            <w:gridSpan w:val="4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信息内容</w:t>
            </w:r>
          </w:p>
        </w:tc>
        <w:tc>
          <w:tcPr>
            <w:tcW w:w="6237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2694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行政许可</w:t>
            </w:r>
          </w:p>
        </w:tc>
        <w:tc>
          <w:tcPr>
            <w:tcW w:w="6237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1808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8931" w:type="dxa"/>
            <w:gridSpan w:val="4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信息内容</w:t>
            </w:r>
          </w:p>
        </w:tc>
        <w:tc>
          <w:tcPr>
            <w:tcW w:w="6237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2694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行政处罚</w:t>
            </w:r>
          </w:p>
        </w:tc>
        <w:tc>
          <w:tcPr>
            <w:tcW w:w="6237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2694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行政强制</w:t>
            </w:r>
          </w:p>
        </w:tc>
        <w:tc>
          <w:tcPr>
            <w:tcW w:w="6237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8931" w:type="dxa"/>
            <w:gridSpan w:val="4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信息内容</w:t>
            </w:r>
          </w:p>
        </w:tc>
        <w:tc>
          <w:tcPr>
            <w:tcW w:w="6237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2694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行政事业性收费</w:t>
            </w:r>
          </w:p>
        </w:tc>
        <w:tc>
          <w:tcPr>
            <w:tcW w:w="6237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10" w:rightChars="100"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黑体" w:hAnsi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收到和处理政府信息公开申请情况</w:t>
      </w:r>
    </w:p>
    <w:tbl>
      <w:tblPr>
        <w:tblStyle w:val="7"/>
        <w:tblW w:w="9781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560"/>
        <w:gridCol w:w="2693"/>
        <w:gridCol w:w="567"/>
        <w:gridCol w:w="709"/>
        <w:gridCol w:w="708"/>
        <w:gridCol w:w="709"/>
        <w:gridCol w:w="709"/>
        <w:gridCol w:w="709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4820" w:type="dxa"/>
            <w:gridSpan w:val="3"/>
            <w:vMerge w:val="restar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楷体_GB2312" w:hAnsi="楷体_GB2312" w:eastAsia="楷体_GB2312" w:cs="楷体_GB2312"/>
              </w:rPr>
              <w:t>（本列数据的勾稽关系为：第一项加第二项之和，等于第三项加第四项之和）</w:t>
            </w:r>
          </w:p>
        </w:tc>
        <w:tc>
          <w:tcPr>
            <w:tcW w:w="4961" w:type="dxa"/>
            <w:gridSpan w:val="7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4820" w:type="dxa"/>
            <w:gridSpan w:val="3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vMerge w:val="restart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自然人</w:t>
            </w:r>
          </w:p>
        </w:tc>
        <w:tc>
          <w:tcPr>
            <w:tcW w:w="3544" w:type="dxa"/>
            <w:gridSpan w:val="5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法人或其他组织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7" w:hRule="atLeast"/>
        </w:trPr>
        <w:tc>
          <w:tcPr>
            <w:tcW w:w="4820" w:type="dxa"/>
            <w:gridSpan w:val="3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vMerge w:val="continue"/>
          </w:tcPr>
          <w:p>
            <w:pPr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>
            <w:pPr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商业企业</w:t>
            </w:r>
          </w:p>
        </w:tc>
        <w:tc>
          <w:tcPr>
            <w:tcW w:w="708" w:type="dxa"/>
            <w:vAlign w:val="center"/>
          </w:tcPr>
          <w:p>
            <w:pPr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科研机构</w:t>
            </w:r>
          </w:p>
        </w:tc>
        <w:tc>
          <w:tcPr>
            <w:tcW w:w="709" w:type="dxa"/>
            <w:vAlign w:val="center"/>
          </w:tcPr>
          <w:p>
            <w:pPr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社会公益组织</w:t>
            </w:r>
          </w:p>
        </w:tc>
        <w:tc>
          <w:tcPr>
            <w:tcW w:w="709" w:type="dxa"/>
            <w:vAlign w:val="center"/>
          </w:tcPr>
          <w:p>
            <w:pPr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法律服务机构</w:t>
            </w:r>
          </w:p>
        </w:tc>
        <w:tc>
          <w:tcPr>
            <w:tcW w:w="709" w:type="dxa"/>
            <w:vAlign w:val="center"/>
          </w:tcPr>
          <w:p>
            <w:pPr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其他</w:t>
            </w:r>
          </w:p>
        </w:tc>
        <w:tc>
          <w:tcPr>
            <w:tcW w:w="850" w:type="dxa"/>
            <w:vMerge w:val="continue"/>
            <w:vAlign w:val="center"/>
          </w:tcPr>
          <w:p>
            <w:pPr>
              <w:rPr>
                <w:rFonts w:hint="eastAsia" w:ascii="黑体" w:hAnsi="黑体" w:eastAsia="黑体" w:cs="黑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4820" w:type="dxa"/>
            <w:gridSpan w:val="3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一、本年新收政府信息公开申请数量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4820" w:type="dxa"/>
            <w:gridSpan w:val="3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二、上年结转政府信息公开申请数量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567" w:type="dxa"/>
            <w:vMerge w:val="restart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三</w:t>
            </w:r>
          </w:p>
          <w:p>
            <w:pPr>
              <w:jc w:val="both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、</w:t>
            </w:r>
          </w:p>
          <w:p>
            <w:pPr>
              <w:jc w:val="both"/>
              <w:rPr>
                <w:rFonts w:hint="eastAsia"/>
              </w:rPr>
            </w:pPr>
            <w:r>
              <w:rPr>
                <w:rFonts w:hint="eastAsia" w:ascii="黑体" w:hAnsi="黑体" w:eastAsia="黑体" w:cs="黑体"/>
              </w:rPr>
              <w:t>本年度办理结果</w:t>
            </w:r>
          </w:p>
        </w:tc>
        <w:tc>
          <w:tcPr>
            <w:tcW w:w="4253" w:type="dxa"/>
            <w:gridSpan w:val="2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（一）予以公开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4253" w:type="dxa"/>
            <w:gridSpan w:val="2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（二）部分公开（区分处理的，只计这一情形，不计其他情形）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restart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（三）不予公开</w:t>
            </w: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1．属于国家秘密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2．其他法律行政法规禁止公开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3．危及“三安全一稳定”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4．保护第三方合法权益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5．属于三类内部事务信息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6．属于四类过程性信息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7．属于行政执法案卷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8．属于行政查询事项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restart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（四）无法提供</w:t>
            </w: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1．本机关不掌握相关政府信息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2．没有现成信息需要另行制作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3．补正后申请内容仍不明确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restart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（五）不予处理</w:t>
            </w: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1．信访举报投诉类申请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2．重复申请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3．要求提供公开出版物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4．无正当理由大量反复申请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/>
              </w:rPr>
            </w:pPr>
          </w:p>
        </w:tc>
        <w:tc>
          <w:tcPr>
            <w:tcW w:w="2693" w:type="dxa"/>
            <w:vAlign w:val="center"/>
          </w:tcPr>
          <w:p>
            <w:pPr>
              <w:ind w:left="180" w:hanging="180" w:hangingChars="100"/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5．要求行政机关确认或重新出具已获取信息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restart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（六）其他处理</w:t>
            </w: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1.申请人无正当理由预期不补正、行政机关不再处理其政府信息公开申请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2.申请人逾期未按收费通知要求缴纳费用、行政机关不再处理其政府信息公开申请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3.其他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567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4253" w:type="dxa"/>
            <w:gridSpan w:val="2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（七）总计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0" w:type="dxa"/>
            <w:gridSpan w:val="3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 w:ascii="黑体" w:hAnsi="黑体" w:eastAsia="黑体" w:cs="黑体"/>
              </w:rPr>
              <w:t>四、结转下年度继续办理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四、政府信息公开行政复议、行政诉讼情况</w:t>
      </w:r>
    </w:p>
    <w:tbl>
      <w:tblPr>
        <w:tblStyle w:val="7"/>
        <w:tblW w:w="10206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08"/>
        <w:gridCol w:w="709"/>
        <w:gridCol w:w="682"/>
        <w:gridCol w:w="594"/>
        <w:gridCol w:w="709"/>
        <w:gridCol w:w="709"/>
        <w:gridCol w:w="709"/>
        <w:gridCol w:w="708"/>
        <w:gridCol w:w="567"/>
        <w:gridCol w:w="851"/>
        <w:gridCol w:w="650"/>
        <w:gridCol w:w="767"/>
        <w:gridCol w:w="709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3402" w:type="dxa"/>
            <w:gridSpan w:val="5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行政复议</w:t>
            </w:r>
          </w:p>
        </w:tc>
        <w:tc>
          <w:tcPr>
            <w:tcW w:w="6804" w:type="dxa"/>
            <w:gridSpan w:val="1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结果维持</w:t>
            </w:r>
          </w:p>
        </w:tc>
        <w:tc>
          <w:tcPr>
            <w:tcW w:w="708" w:type="dxa"/>
            <w:vMerge w:val="restart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结果纠正</w:t>
            </w:r>
          </w:p>
        </w:tc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其他结果</w:t>
            </w:r>
          </w:p>
        </w:tc>
        <w:tc>
          <w:tcPr>
            <w:tcW w:w="682" w:type="dxa"/>
            <w:vMerge w:val="restart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尚未审结</w:t>
            </w:r>
          </w:p>
        </w:tc>
        <w:tc>
          <w:tcPr>
            <w:tcW w:w="594" w:type="dxa"/>
            <w:vMerge w:val="restart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总计</w:t>
            </w:r>
          </w:p>
        </w:tc>
        <w:tc>
          <w:tcPr>
            <w:tcW w:w="3402" w:type="dxa"/>
            <w:gridSpan w:val="5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未经复议直接起诉</w:t>
            </w:r>
          </w:p>
        </w:tc>
        <w:tc>
          <w:tcPr>
            <w:tcW w:w="3402" w:type="dxa"/>
            <w:gridSpan w:val="5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18"/>
                <w:szCs w:val="18"/>
              </w:rPr>
            </w:pPr>
          </w:p>
        </w:tc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18"/>
                <w:szCs w:val="18"/>
              </w:rPr>
            </w:pPr>
          </w:p>
        </w:tc>
        <w:tc>
          <w:tcPr>
            <w:tcW w:w="682" w:type="dxa"/>
            <w:vMerge w:val="continue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</w:p>
        </w:tc>
        <w:tc>
          <w:tcPr>
            <w:tcW w:w="594" w:type="dxa"/>
            <w:vMerge w:val="continue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结果维持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结果纠正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其他结果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尚未审结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总计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结果</w:t>
            </w:r>
          </w:p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维持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结果纠正</w:t>
            </w:r>
          </w:p>
        </w:tc>
        <w:tc>
          <w:tcPr>
            <w:tcW w:w="7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其他结果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尚未审结</w:t>
            </w: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82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594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767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存在的主要问题及改进情况</w:t>
      </w:r>
    </w:p>
    <w:p>
      <w:pPr>
        <w:pStyle w:val="5"/>
        <w:widowControl/>
        <w:spacing w:beforeAutospacing="0" w:afterAutospacing="0" w:line="560" w:lineRule="exact"/>
        <w:ind w:firstLine="646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存在的主要问题：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一是部分科室、直属单位和局属学校信息公开意识不强，主动公开基本目录内容保障的时效性有待进一步提高；二是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政策解读仍以文字解读为主，政策解读的形式尚需进一步丰富。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改进情况：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一是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建立“闹钟”式工作方法，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督促科室、直属单位和局属学校形成及时发布政府信息的工作习惯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；二是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  <w:t>经常性组织新闻发布会，拓宽群众获取重要信息的渠道，组织开展“看学有所教变化提意见建议”校园开放日活动，进一步丰富了政策解读和教育宣传的形式。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其他需要报告的事项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（一）收取信息处理费的情况。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2021年度，市教育局未收取政府信息公开处理费。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落实上级年度政务公开工作要点情况。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，市教育局在抓好政务公开工作规范提升的同时，持续强化“管业务就要管公开”的理念，把业务工作同政务公开工作同部署、同推进、同落实，进一步完善工作机制，有效推进上级政务公开工作要点的落实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人大代表建议和政协提案办理结果公开情况。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2021年，承办市人大代表建议37件、市政协委员提案50件，共计87件，其中49件已在政务公开平台公开发布。市教育局持续放大建议提案办理实效，全面激发全市教育高质量发展强劲动能，实现了沟通率、办结率、满意率“三个100%”。办理情况详见政务公开平台发布的相关信息，链接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333333"/>
          <w:spacing w:val="0"/>
          <w:sz w:val="32"/>
          <w:szCs w:val="32"/>
        </w:rPr>
        <w:t>淄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博市教育局2021年度建议提案办理总体情况：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instrText xml:space="preserve"> HYPERLINK "http://edu.zibo.gov.cn/gongkai/channel_c_5f9fa491ab327f36e4c1307f_5fb3bd51dd0092b848bb98b4/doc_618b72e75ea90004e0c00409.html" </w:instrTex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http://edu.zibo.gov.cn/gongkai/channel_c_5f9fa491ab327f36e4c1307f_5fb3bd51dd0092b848bb98b4/doc_618b72e75ea90004e0c00409.html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政协委员提案办理情况：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instrText xml:space="preserve"> HYPERLINK "http://edu.zibo.gov.cn/gongkai/channel_c_5f9fa491ab327f36e4c1307f_5fb3bcd6dd0092b848bb988a/" </w:instrText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http://edu.zibo.gov.cn/gongkai/channel_c_5f9fa491ab327f36e4c1307f_5fb3bcd6dd0092b848bb988a/</w:t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人大代表建议办理情况：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instrText xml:space="preserve"> HYPERLINK "http://edu.zibo.gov.cn/gongkai/channel_c_5f9fa491ab327f36e4c1307f_5fb3bcd6dd0092b848bb9889/" </w:instrText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http://edu.zibo.gov.cn/gongkai/channel_c_5f9fa491ab327f36e4c1307f_5fb3bcd6dd0092b848bb9889/</w:t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（四）本机关年度报告中所列数据统计期限。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报告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中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所列数据的统计期限自202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年1月1日至202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年12月31日。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（五）其他事项。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报告的电子版可在政府信息公开平台（http://edu.zibo.gov.cn/gongkai/）查询和下载。如对本报告有疑问，请与淄博市教育局政务公开领导小组办公室联系。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地址：淄博市张店区联通路202号822室；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邮编：255030；电话：3184086；传真：3181575；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邮箱：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shd w:val="clear" w:color="auto" w:fill="FFFFFF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shd w:val="clear" w:color="auto" w:fill="FFFFFF"/>
        </w:rPr>
        <w:instrText xml:space="preserve"> HYPERLINK "mailto:zbjyjbgs@zb.shandong.cn。"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shd w:val="clear" w:color="auto" w:fill="FFFFFF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shd w:val="clear" w:color="auto" w:fill="FFFFFF"/>
        </w:rPr>
        <w:t>zbjyjbgs@zb.shandong.cn。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shd w:val="clear" w:color="auto" w:fill="FFFFFF"/>
        </w:rPr>
        <w:fldChar w:fldCharType="end"/>
      </w:r>
    </w:p>
    <w:sectPr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D6E0979"/>
    <w:multiLevelType w:val="singleLevel"/>
    <w:tmpl w:val="ED6E097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A6291D"/>
    <w:multiLevelType w:val="singleLevel"/>
    <w:tmpl w:val="65A6291D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85D39"/>
    <w:rsid w:val="009C47A2"/>
    <w:rsid w:val="03F74A9B"/>
    <w:rsid w:val="055872EC"/>
    <w:rsid w:val="05B4380C"/>
    <w:rsid w:val="07084B4E"/>
    <w:rsid w:val="07BD7A0E"/>
    <w:rsid w:val="08E16F75"/>
    <w:rsid w:val="0975134D"/>
    <w:rsid w:val="0AB47BE5"/>
    <w:rsid w:val="0B757B6A"/>
    <w:rsid w:val="0CF01CC3"/>
    <w:rsid w:val="0D333FC2"/>
    <w:rsid w:val="0E4718D0"/>
    <w:rsid w:val="1417074C"/>
    <w:rsid w:val="15EE4DA0"/>
    <w:rsid w:val="17191876"/>
    <w:rsid w:val="19FA34D9"/>
    <w:rsid w:val="1A227DDB"/>
    <w:rsid w:val="1A891752"/>
    <w:rsid w:val="1BA51D96"/>
    <w:rsid w:val="1C3D2666"/>
    <w:rsid w:val="1E413C48"/>
    <w:rsid w:val="1F8E63C6"/>
    <w:rsid w:val="1FE752E3"/>
    <w:rsid w:val="21077450"/>
    <w:rsid w:val="212D46CF"/>
    <w:rsid w:val="2264444D"/>
    <w:rsid w:val="28104C38"/>
    <w:rsid w:val="2AAD703B"/>
    <w:rsid w:val="2B180101"/>
    <w:rsid w:val="2CB018DC"/>
    <w:rsid w:val="2DDC2617"/>
    <w:rsid w:val="2F69337F"/>
    <w:rsid w:val="3005075F"/>
    <w:rsid w:val="33E46992"/>
    <w:rsid w:val="376A7439"/>
    <w:rsid w:val="391047FF"/>
    <w:rsid w:val="39CA41A9"/>
    <w:rsid w:val="3BA53358"/>
    <w:rsid w:val="3C4E2B57"/>
    <w:rsid w:val="3C580B61"/>
    <w:rsid w:val="3C7F7446"/>
    <w:rsid w:val="3D3A0D0B"/>
    <w:rsid w:val="3DD17AA0"/>
    <w:rsid w:val="40C14967"/>
    <w:rsid w:val="414724DA"/>
    <w:rsid w:val="41E65792"/>
    <w:rsid w:val="433A7FAF"/>
    <w:rsid w:val="45A46916"/>
    <w:rsid w:val="48A71814"/>
    <w:rsid w:val="496B3C43"/>
    <w:rsid w:val="4DD54CB1"/>
    <w:rsid w:val="4E4F19F3"/>
    <w:rsid w:val="514F3CCE"/>
    <w:rsid w:val="51892177"/>
    <w:rsid w:val="527619DC"/>
    <w:rsid w:val="55015DCC"/>
    <w:rsid w:val="5BBD1157"/>
    <w:rsid w:val="5C902DE6"/>
    <w:rsid w:val="5CDB5836"/>
    <w:rsid w:val="5CEA6AAA"/>
    <w:rsid w:val="5FB9457F"/>
    <w:rsid w:val="611B19A5"/>
    <w:rsid w:val="638C35CD"/>
    <w:rsid w:val="63CC39AA"/>
    <w:rsid w:val="65220074"/>
    <w:rsid w:val="671B5918"/>
    <w:rsid w:val="68397EC3"/>
    <w:rsid w:val="686F40C9"/>
    <w:rsid w:val="6A133712"/>
    <w:rsid w:val="6C73332C"/>
    <w:rsid w:val="6F627386"/>
    <w:rsid w:val="726D2668"/>
    <w:rsid w:val="77497217"/>
    <w:rsid w:val="77F65508"/>
    <w:rsid w:val="78363680"/>
    <w:rsid w:val="78F848C8"/>
    <w:rsid w:val="795C2F12"/>
    <w:rsid w:val="7C1A490D"/>
    <w:rsid w:val="7EB6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widowControl/>
      <w:jc w:val="left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3"/>
    <w:qFormat/>
    <w:uiPriority w:val="0"/>
    <w:pPr>
      <w:spacing w:line="0" w:lineRule="atLeast"/>
      <w:jc w:val="center"/>
    </w:pPr>
    <w:rPr>
      <w:rFonts w:ascii="Arial" w:hAnsi="Arial" w:eastAsia="黑体"/>
      <w:sz w:val="52"/>
    </w:rPr>
  </w:style>
  <w:style w:type="paragraph" w:styleId="3">
    <w:name w:val="Body Text Indent"/>
    <w:basedOn w:val="1"/>
    <w:next w:val="1"/>
    <w:unhideWhenUsed/>
    <w:qFormat/>
    <w:uiPriority w:val="99"/>
    <w:pPr>
      <w:spacing w:after="120"/>
      <w:ind w:left="420" w:leftChars="200"/>
    </w:pPr>
  </w:style>
  <w:style w:type="paragraph" w:styleId="5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jyjbgs</dc:creator>
  <cp:lastModifiedBy>晓风</cp:lastModifiedBy>
  <dcterms:modified xsi:type="dcterms:W3CDTF">2022-01-21T05:13:15Z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