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淄博市教育局2019年政府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年度报告</w:t>
      </w:r>
    </w:p>
    <w:p>
      <w:pPr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根据《中华人民共和国政府信息公开条例》规定，按照市政府办公室《关于规范编制和按时发布政府信息公开工作年度报告的通知》要求，编制淄博市教育局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2019年度信息公开工作年度报告，并向社会公布。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主要由6项内容组成，所列数据的统计期限自2019年1月1日至2019年12月31日。报告的电子版可在“淄博市人民政府”（http://www.zibo.gov.cn/）和“淄博市教育局”（http://edu.zibo.gov.cn/）网站查询和下载。如对本报告有疑问，请与淄博市教育局政务公开领导小组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地址：淄博市张店区联通路202号822室；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邮编：255030；电话：3184086；传真：3181575；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邮箱：zbjyjbgs@zb.shandong.cn。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一、总体情况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，淄博市教育局认真学习贯彻落实《中华人民共和国政府信息公开条例》、《山东省政府信息公开办法》规定要求，全面贯彻市政府办公室《关于印发2019年淄博市政务公开工作方案的通知》精神，坚持以公开为常态、不公开为例外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紧紧围绕办好人民群众满意教育，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全面、及时、准确地公开政府信息，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着力推动行政权力全过程公开、公共服务全流程公开、社会关切全方位回应，持续做好信息发布、解读回应、政民互动、平台建设，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不断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提升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教育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政务公开质量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教育服务能力，切实增强人民群众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的教育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满意度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1.组织领导和制度建设。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《淄博市教育局（中共淄博市委教育工作委员会）职能配置、内设机构和人员编制规定》，调整市教育局政务公开工作领导小组，设立政务公开工作领导小组办公室，安排专职人员专门负责政务公开工作，进一步明确各项工作职责，形成了“主要领导亲自抓、分管领导具体抓、机关处室合力抓、专人负责落实抓”的工作机制。完善《淄博市教育局政务公开工作规则》，研究制定《淄博市教育局2019年政务公开工作实施方案》，切实抓好信息公开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2.主动公开情况。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完善并发布《淄博市教育局主动公开基本目录》，确定25个方面190个主动公开事项，明确各事项责任科室和单位。2019年主动公开政府信息337条，其中针对社会关切的中考招生、高考录取和志愿填报、学生奖学助学等事项进行图文并茂的政策解读26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3.依申请公开情况。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共收到7件政府信息公开申请，均严格按照依申请公开有关规定予以办理。其中，6件按照程序进行了书面答复，依申请公开了相关政府信息；1件我局不掌握相关政府信息，与申请人联系沟通进行了说明，申请人对处理结果表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4.政府信息管理情况。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建立公开内容动态调整机制，及时衔接权责清单和行政审批事项，结合群众关注的重点热点问题，加大招生入学、高考政策、居住区配套幼儿园专项整治、解决城镇大班额等公开力度，定期对公开内容进行梳理并及时更新。完善政府信息公开保密审查和监督检查机制，严格落实政府信息公开审查制度，对需公开发布的信息经科室审核和保密审查后，由分管领导签署审批意见，再进行备案统一对外发布，切实做到“一事一审查”、“先审查、后公开”，确保了信息公开工作的规范性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5.平台建设情况。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不断加大平台建设力度，加强网站、微信、微博发布平台融合和优势互补，调整信息栏目设置，政务信息查阅更加便利快捷。2019年，淄博市教育局网站发布信息11878条，淄博教育发布微信公众号发布信息1372条，淄博教育微博发布信息622条，淄博教育今日头条号发布信息257条。加强政民互动交流平台建设，共收到互动交流留言1390条，全部及时回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6.监督保障情况。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将政务公开工作纳入领导分工，局主要负责同志和分管领导定期听取政务公开工作汇报，研究部署政务公开工作。建立政府信息公开工作考核制度，将政府信息公开工作情况纳入科室、单位考评。研究制定《淄博市教育局2019年政务公开培训计划》，积极参加全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政务公开工作培训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，组织召开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市教育局政务公开工作培训会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，不断提升政务公开业务能力。扎实做好省、市政务公开工作考评，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以评促建，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推动政务公开工作水平再提升。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tbl>
      <w:tblPr>
        <w:tblStyle w:val="6"/>
        <w:tblpPr w:leftFromText="180" w:rightFromText="180" w:vertAnchor="text" w:horzAnchor="page" w:tblpX="1561" w:tblpY="133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1883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6649602.21元</w:t>
            </w:r>
          </w:p>
        </w:tc>
      </w:tr>
    </w:tbl>
    <w:p>
      <w:pPr>
        <w:rPr>
          <w:rFonts w:hint="eastAsia"/>
          <w:b/>
          <w:color w:val="auto"/>
          <w:sz w:val="24"/>
          <w:szCs w:val="24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b/>
          <w:color w:val="auto"/>
          <w:sz w:val="28"/>
          <w:szCs w:val="28"/>
        </w:rPr>
      </w:pPr>
    </w:p>
    <w:p>
      <w:pPr>
        <w:rPr>
          <w:rFonts w:hint="eastAsia"/>
          <w:b/>
          <w:color w:val="auto"/>
          <w:sz w:val="28"/>
          <w:szCs w:val="28"/>
        </w:rPr>
      </w:pPr>
    </w:p>
    <w:p>
      <w:pPr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tbl>
      <w:tblPr>
        <w:tblStyle w:val="6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四、结转下年度继续办理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tbl>
      <w:tblPr>
        <w:tblStyle w:val="6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2019年，市教育局政府信息公开工作虽然取得了一定的成绩，但还存在一些问题和不足。一是政府信息公开的业务能力和水平需进一步提高。二是政府信息公开的内容和范围需进一步扩大。三是政府信息公开的载体和形式需进一步丰富。下一步，我局将进一步健全完善工作机制，深化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人民共和国政府信息公开条例》等学习，加大政府信息公开工作业务培训力度，加强网站、微信、微博平台建设，强化平台融合和优势互补，切实抓好政府信息公开工作落实，实现政府信息公开工作时效、质量再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2019年，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</w:rPr>
        <w:t>市教育局共承办市人大代表建议、政协委员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提案70件，其中人大代表建议17件，政协委员提案53件。</w:t>
      </w:r>
      <w:r>
        <w:rPr>
          <w:rFonts w:ascii="仿宋_GB2312" w:hAnsi="宋体" w:eastAsia="仿宋_GB2312" w:cs="宋体"/>
          <w:color w:val="auto"/>
          <w:spacing w:val="0"/>
          <w:kern w:val="0"/>
          <w:sz w:val="32"/>
          <w:szCs w:val="32"/>
        </w:rPr>
        <w:t>我局高度重视建议提案办理工作，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</w:rPr>
        <w:t>切实改进工作作风，增强工作实效，确保</w:t>
      </w:r>
      <w:r>
        <w:rPr>
          <w:rFonts w:ascii="仿宋_GB2312" w:hAnsi="宋体" w:eastAsia="仿宋_GB2312" w:cs="宋体"/>
          <w:color w:val="auto"/>
          <w:spacing w:val="0"/>
          <w:kern w:val="0"/>
          <w:sz w:val="32"/>
          <w:szCs w:val="32"/>
        </w:rPr>
        <w:t>建议提案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</w:rPr>
        <w:t>件件有回音、事事有落实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建议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提案答复率、见面率、满意率、按期办结率均达100%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对人大代表建议和政协委员提案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复文，除内容涉及国家秘密的以外，全部于办结后20个工作日内公开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接受市人大常委会专项工作评议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以优异成绩获满意度测评政府部门第一名。认真推进“一窗受理·一次办好”改革，推进政务服务事项标准化、规范化，可网办事项达100%，市教育局被评为市政务服务中心综合值班“优秀窗口”。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57D1C88"/>
    <w:rsid w:val="05AB28E5"/>
    <w:rsid w:val="08846DEA"/>
    <w:rsid w:val="0D1841B3"/>
    <w:rsid w:val="10E140BE"/>
    <w:rsid w:val="10FC6C8F"/>
    <w:rsid w:val="27F463CA"/>
    <w:rsid w:val="2C0C6FEB"/>
    <w:rsid w:val="30465101"/>
    <w:rsid w:val="326B686F"/>
    <w:rsid w:val="38824439"/>
    <w:rsid w:val="3AA84BC8"/>
    <w:rsid w:val="4454728F"/>
    <w:rsid w:val="45B72D46"/>
    <w:rsid w:val="46760E56"/>
    <w:rsid w:val="48BA245B"/>
    <w:rsid w:val="49D3179B"/>
    <w:rsid w:val="4DE93206"/>
    <w:rsid w:val="519321D0"/>
    <w:rsid w:val="573830EC"/>
    <w:rsid w:val="58A96B02"/>
    <w:rsid w:val="5B2E657C"/>
    <w:rsid w:val="5B7666E2"/>
    <w:rsid w:val="5DFE238B"/>
    <w:rsid w:val="5F974231"/>
    <w:rsid w:val="600856BE"/>
    <w:rsid w:val="61000959"/>
    <w:rsid w:val="62424922"/>
    <w:rsid w:val="630C72DD"/>
    <w:rsid w:val="632E7313"/>
    <w:rsid w:val="64E33CB4"/>
    <w:rsid w:val="656A0A7F"/>
    <w:rsid w:val="67B02099"/>
    <w:rsid w:val="6CFF43B4"/>
    <w:rsid w:val="6D2C1974"/>
    <w:rsid w:val="6EAC2322"/>
    <w:rsid w:val="715D15CD"/>
    <w:rsid w:val="74332E36"/>
    <w:rsid w:val="755D38A1"/>
    <w:rsid w:val="79BA1281"/>
    <w:rsid w:val="7B9B5F0A"/>
    <w:rsid w:val="7E1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13</TotalTime>
  <ScaleCrop>false</ScaleCrop>
  <LinksUpToDate>false</LinksUpToDate>
  <CharactersWithSpaces>1154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晓风</cp:lastModifiedBy>
  <cp:lastPrinted>2020-01-16T04:07:00Z</cp:lastPrinted>
  <dcterms:modified xsi:type="dcterms:W3CDTF">2021-03-18T09:45:11Z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