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widowControl/>
        <w:shd w:val="clear" w:color="auto" w:fill="FFFFFF"/>
        <w:spacing w:beforeAutospacing="0" w:afterAutospacing="0" w:line="560" w:lineRule="exact"/>
        <w:jc w:val="center"/>
        <w:rPr>
          <w:rFonts w:hint="default" w:ascii="方正小标宋简体" w:hAnsi="方正小标宋简体" w:eastAsia="方正小标宋简体" w:cs="方正小标宋简体"/>
          <w:b w:val="0"/>
          <w:bCs/>
          <w:color w:val="000000"/>
          <w:sz w:val="44"/>
          <w:szCs w:val="44"/>
          <w:shd w:val="clear" w:color="auto" w:fill="FFFFFF"/>
        </w:rPr>
      </w:pPr>
      <w:r>
        <w:rPr>
          <w:rFonts w:ascii="方正小标宋简体" w:hAnsi="方正小标宋简体" w:eastAsia="方正小标宋简体" w:cs="方正小标宋简体"/>
          <w:b w:val="0"/>
          <w:bCs/>
          <w:color w:val="000000"/>
          <w:sz w:val="44"/>
          <w:szCs w:val="44"/>
          <w:shd w:val="clear" w:color="auto" w:fill="FFFFFF"/>
        </w:rPr>
        <w:t>淄博市教育局2020年政府信息公开工作</w:t>
      </w:r>
    </w:p>
    <w:p>
      <w:pPr>
        <w:pStyle w:val="4"/>
        <w:widowControl/>
        <w:shd w:val="clear" w:color="auto" w:fill="FFFFFF"/>
        <w:spacing w:beforeAutospacing="0" w:afterAutospacing="0" w:line="560" w:lineRule="exact"/>
        <w:jc w:val="center"/>
        <w:rPr>
          <w:rFonts w:hint="default" w:ascii="方正小标宋简体" w:hAnsi="方正小标宋简体" w:eastAsia="方正小标宋简体" w:cs="方正小标宋简体"/>
          <w:b w:val="0"/>
          <w:bCs/>
          <w:color w:val="000000"/>
          <w:sz w:val="44"/>
          <w:szCs w:val="44"/>
        </w:rPr>
      </w:pPr>
      <w:r>
        <w:rPr>
          <w:rFonts w:ascii="方正小标宋简体" w:hAnsi="方正小标宋简体" w:eastAsia="方正小标宋简体" w:cs="方正小标宋简体"/>
          <w:b w:val="0"/>
          <w:bCs/>
          <w:color w:val="000000"/>
          <w:sz w:val="44"/>
          <w:szCs w:val="44"/>
          <w:shd w:val="clear" w:color="auto" w:fill="FFFFFF"/>
        </w:rPr>
        <w:t>年度报告</w:t>
      </w:r>
    </w:p>
    <w:p>
      <w:pPr>
        <w:jc w:val="center"/>
        <w:rPr>
          <w:bCs/>
          <w:sz w:val="36"/>
          <w:szCs w:val="36"/>
        </w:rPr>
      </w:pPr>
    </w:p>
    <w:p>
      <w:pPr>
        <w:pStyle w:val="8"/>
        <w:widowControl/>
        <w:shd w:val="clear" w:color="auto" w:fill="FFFFFF"/>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按照《国务院办公厅政府信息与政务公开办公室关于政府信息公开工作年度报告有关事项的通知》（国办公开办函〔2019〕60号）和市政府办公室《关于编制和公布2020年政府信息公开工作年度报告的通知》要求，编制淄博市教育局2020年政府信息公开工作年度报告，并向社会公布。</w:t>
      </w:r>
    </w:p>
    <w:p>
      <w:pPr>
        <w:pStyle w:val="8"/>
        <w:widowControl/>
        <w:shd w:val="clear" w:color="auto" w:fill="FFFFFF"/>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报告由6大部分组成，所列数据的统计期限自2020年1月1日至2020年12月31日。报告的电子版可在政府信息公开平台（http://edu.zibo.gov.cn/gongkai/）查询和下载。如对本报告有疑问，请与淄博市教育局政务公开领导小组办公室联系。</w:t>
      </w:r>
    </w:p>
    <w:p>
      <w:pPr>
        <w:pStyle w:val="8"/>
        <w:widowControl/>
        <w:shd w:val="clear" w:color="auto" w:fill="FFFFFF"/>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地址：淄博市张店区联通路202号822室；</w:t>
      </w:r>
    </w:p>
    <w:p>
      <w:pPr>
        <w:pStyle w:val="8"/>
        <w:widowControl/>
        <w:shd w:val="clear" w:color="auto" w:fill="FFFFFF"/>
        <w:spacing w:beforeAutospacing="0" w:afterAutospacing="0" w:line="560" w:lineRule="exact"/>
        <w:ind w:firstLine="640"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邮编：255030；电话：3184086；传真：3181575；</w:t>
      </w:r>
    </w:p>
    <w:p>
      <w:pPr>
        <w:pStyle w:val="8"/>
        <w:widowControl/>
        <w:shd w:val="clear" w:color="auto" w:fill="FFFFFF"/>
        <w:spacing w:beforeAutospacing="0" w:afterAutospacing="0" w:line="560" w:lineRule="exact"/>
        <w:ind w:firstLine="640" w:firstLineChars="200"/>
        <w:jc w:val="both"/>
        <w:rPr>
          <w:bCs/>
          <w:sz w:val="36"/>
          <w:szCs w:val="36"/>
        </w:rPr>
      </w:pPr>
      <w:r>
        <w:rPr>
          <w:rFonts w:hint="eastAsia" w:ascii="仿宋_GB2312" w:hAnsi="仿宋_GB2312" w:eastAsia="仿宋_GB2312" w:cs="仿宋_GB2312"/>
          <w:color w:val="000000"/>
          <w:sz w:val="32"/>
          <w:szCs w:val="32"/>
          <w:shd w:val="clear" w:color="auto" w:fill="FFFFFF"/>
        </w:rPr>
        <w:t>邮箱：zbjyjbgs@zb.shandong.cn。</w:t>
      </w:r>
    </w:p>
    <w:p>
      <w:pPr>
        <w:spacing w:line="560" w:lineRule="exact"/>
        <w:ind w:firstLine="640" w:firstLineChars="200"/>
        <w:rPr>
          <w:rFonts w:ascii="黑体" w:hAnsi="黑体" w:eastAsia="黑体" w:cs="黑体"/>
          <w:bCs/>
          <w:sz w:val="32"/>
          <w:szCs w:val="32"/>
        </w:rPr>
      </w:pPr>
      <w:r>
        <w:rPr>
          <w:rFonts w:hint="eastAsia" w:ascii="黑体" w:hAnsi="黑体" w:eastAsia="黑体" w:cs="黑体"/>
          <w:bCs/>
          <w:sz w:val="32"/>
          <w:szCs w:val="32"/>
        </w:rPr>
        <w:t>一、总体情况</w:t>
      </w:r>
    </w:p>
    <w:p>
      <w:pPr>
        <w:pStyle w:val="8"/>
        <w:widowControl/>
        <w:shd w:val="clear" w:color="auto" w:fill="FFFFFF"/>
        <w:spacing w:beforeAutospacing="0" w:afterAutospacing="0"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2020年，淄博市教育局认真贯彻落实《政府信息公开条例》和《关于全面推进政务公开工作的意见》及其实施细则的规定要求，学习贯彻《2020年淄博市政务公开工作评估考核方案》(淄政办字〔2020〕105号)精神,坚持“以公开为常态、不公开为例外”原则，紧紧围绕教育重大决策部署和公众关切，坚持以提升政务公开质量为主线，聚焦社会公众需求，深化重点领域信息公开，全面推进权力运行全流程、政务服务全过程公开，切实提升政务公开工作水平，进一步增强人民群众获得感和满意度。</w:t>
      </w:r>
    </w:p>
    <w:p>
      <w:pPr>
        <w:pStyle w:val="8"/>
        <w:widowControl/>
        <w:shd w:val="clear" w:color="auto" w:fill="FFFFFF"/>
        <w:spacing w:beforeAutospacing="0" w:afterAutospacing="0" w:line="560" w:lineRule="exact"/>
        <w:ind w:firstLine="640" w:firstLineChars="200"/>
        <w:jc w:val="both"/>
        <w:rPr>
          <w:rFonts w:ascii="仿宋_GB2312" w:hAnsi="仿宋_GB2312" w:eastAsia="仿宋_GB2312" w:cs="仿宋_GB2312"/>
          <w:sz w:val="32"/>
          <w:szCs w:val="32"/>
        </w:rPr>
      </w:pPr>
      <w:r>
        <w:rPr>
          <w:rFonts w:hint="eastAsia" w:ascii="楷体" w:hAnsi="楷体" w:eastAsia="楷体" w:cs="楷体"/>
          <w:sz w:val="32"/>
          <w:szCs w:val="32"/>
        </w:rPr>
        <w:t>1.主动公开情况。</w:t>
      </w:r>
      <w:r>
        <w:rPr>
          <w:rFonts w:hint="eastAsia" w:ascii="仿宋_GB2312" w:hAnsi="仿宋_GB2312" w:eastAsia="仿宋_GB2312" w:cs="仿宋_GB2312"/>
          <w:sz w:val="32"/>
          <w:szCs w:val="32"/>
        </w:rPr>
        <w:t>加强政务公开工作组织领导，优化工作流程，调整政务公开工作领导小组及办事机构人员组成，完善并发布《</w:t>
      </w:r>
      <w:r>
        <w:fldChar w:fldCharType="begin"/>
      </w:r>
      <w:r>
        <w:instrText xml:space="preserve"> HYPERLINK "http://edu.zibo.gov.cn/gongkai/channel_c_5f9fa491ab327f36e4c1307f_n_1605682581.2748/doc_5fb400a1fbfe6647ee0db0ac.html" \t "http://edu.zibo.gov.cn/gongkai/channel_c_5f9fa491ab327f36e4c1307f_n_1605682581.2748/_blank" </w:instrText>
      </w:r>
      <w:r>
        <w:fldChar w:fldCharType="separate"/>
      </w:r>
      <w:r>
        <w:rPr>
          <w:rFonts w:hint="eastAsia" w:ascii="仿宋_GB2312" w:hAnsi="仿宋_GB2312" w:eastAsia="仿宋_GB2312" w:cs="仿宋_GB2312"/>
          <w:sz w:val="32"/>
          <w:szCs w:val="32"/>
        </w:rPr>
        <w:t>淄博市教育局（中共淄博市委教育工作委员会）主动公开基本目录</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shd w:val="clear" w:color="auto" w:fill="FFFFFF"/>
        </w:rPr>
        <w:t>结合市教育局政务信息主动公开基本目录，重点围绕社会关注度高的民生实事工作，推进“决策、执行、管理、服务、结果”公开。</w:t>
      </w:r>
      <w:r>
        <w:rPr>
          <w:rFonts w:hint="eastAsia" w:ascii="仿宋_GB2312" w:hAnsi="宋体" w:eastAsia="仿宋_GB2312" w:cs="仿宋_GB2312"/>
          <w:color w:val="000000"/>
          <w:sz w:val="32"/>
          <w:szCs w:val="32"/>
          <w:shd w:val="clear" w:color="auto" w:fill="FFFFFF"/>
        </w:rPr>
        <w:t>2020年</w:t>
      </w:r>
      <w:r>
        <w:rPr>
          <w:rFonts w:ascii="仿宋_GB2312" w:hAnsi="宋体" w:eastAsia="仿宋_GB2312" w:cs="仿宋_GB2312"/>
          <w:color w:val="000000"/>
          <w:sz w:val="32"/>
          <w:szCs w:val="32"/>
          <w:shd w:val="clear" w:color="auto" w:fill="FFFFFF"/>
        </w:rPr>
        <w:t>，市教育局承办市人大代表建议</w:t>
      </w:r>
      <w:r>
        <w:rPr>
          <w:rFonts w:hint="eastAsia" w:ascii="仿宋_GB2312" w:hAnsi="宋体" w:eastAsia="仿宋_GB2312" w:cs="仿宋_GB2312"/>
          <w:color w:val="000000"/>
          <w:sz w:val="32"/>
          <w:szCs w:val="32"/>
          <w:shd w:val="clear" w:color="auto" w:fill="FFFFFF"/>
        </w:rPr>
        <w:t>19件、市政协委员提案59件</w:t>
      </w:r>
      <w:r>
        <w:rPr>
          <w:rFonts w:hint="eastAsia" w:ascii="仿宋_GB2312" w:hAnsi="仿宋_GB2312" w:eastAsia="仿宋_GB2312" w:cs="仿宋_GB2312"/>
          <w:sz w:val="32"/>
          <w:szCs w:val="32"/>
        </w:rPr>
        <w:t>，对承办的78件建议提案进行梳理分类，建立了“主要领导亲自抓、分管领导靠上抓、职能科室负专责”的工作机制，以推进全市教育高质量发展为主线，以破解教育发展难点热点问题为导向，积极与代表、委员共商共研，提升了建议提案办理的规范性和实效性，答复率、见面率、满意率、按期办结率均达100%。人大代表建议和政协委员提案的内容和复文，全部于办结后20日内公开发布。</w:t>
      </w:r>
    </w:p>
    <w:p>
      <w:pPr>
        <w:widowControl/>
        <w:jc w:val="left"/>
      </w:pPr>
      <w:r>
        <w:rPr>
          <w:rFonts w:ascii="宋体" w:hAnsi="宋体" w:eastAsia="宋体" w:cs="宋体"/>
          <w:kern w:val="0"/>
          <w:sz w:val="24"/>
          <w:szCs w:val="24"/>
        </w:rPr>
        <w:drawing>
          <wp:inline distT="0" distB="0" distL="114300" distR="114300">
            <wp:extent cx="2767330" cy="2488565"/>
            <wp:effectExtent l="0" t="0" r="13970" b="6985"/>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5"/>
                    <a:stretch>
                      <a:fillRect/>
                    </a:stretch>
                  </pic:blipFill>
                  <pic:spPr>
                    <a:xfrm>
                      <a:off x="0" y="0"/>
                      <a:ext cx="2767330" cy="2488565"/>
                    </a:xfrm>
                    <a:prstGeom prst="rect">
                      <a:avLst/>
                    </a:prstGeom>
                    <a:noFill/>
                    <a:ln w="9525">
                      <a:noFill/>
                    </a:ln>
                  </pic:spPr>
                </pic:pic>
              </a:graphicData>
            </a:graphic>
          </wp:inline>
        </w:drawing>
      </w:r>
      <w:r>
        <w:rPr>
          <w:rFonts w:ascii="宋体" w:hAnsi="宋体" w:eastAsia="宋体" w:cs="宋体"/>
          <w:kern w:val="0"/>
          <w:sz w:val="24"/>
          <w:szCs w:val="24"/>
        </w:rPr>
        <w:drawing>
          <wp:inline distT="0" distB="0" distL="114300" distR="114300">
            <wp:extent cx="2788285" cy="2493645"/>
            <wp:effectExtent l="0" t="0" r="12065" b="190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6"/>
                    <a:stretch>
                      <a:fillRect/>
                    </a:stretch>
                  </pic:blipFill>
                  <pic:spPr>
                    <a:xfrm>
                      <a:off x="0" y="0"/>
                      <a:ext cx="2788285" cy="2493645"/>
                    </a:xfrm>
                    <a:prstGeom prst="rect">
                      <a:avLst/>
                    </a:prstGeom>
                    <a:noFill/>
                    <a:ln w="9525">
                      <a:noFill/>
                    </a:ln>
                  </pic:spPr>
                </pic:pic>
              </a:graphicData>
            </a:graphic>
          </wp:inline>
        </w:drawing>
      </w:r>
    </w:p>
    <w:p>
      <w:pPr>
        <w:pStyle w:val="8"/>
        <w:widowControl/>
        <w:shd w:val="clear" w:color="auto" w:fill="FFFFFF"/>
        <w:spacing w:beforeAutospacing="0" w:afterAutospacing="0" w:line="560" w:lineRule="exact"/>
        <w:ind w:firstLine="640" w:firstLineChars="200"/>
        <w:jc w:val="both"/>
        <w:rPr>
          <w:rFonts w:ascii="仿宋_GB2312" w:hAnsi="仿宋_GB2312" w:eastAsia="仿宋_GB2312" w:cs="仿宋_GB2312"/>
          <w:sz w:val="32"/>
          <w:szCs w:val="32"/>
        </w:rPr>
      </w:pPr>
      <w:r>
        <w:rPr>
          <w:rFonts w:hint="eastAsia" w:ascii="楷体" w:hAnsi="楷体" w:eastAsia="楷体" w:cs="楷体"/>
          <w:sz w:val="32"/>
          <w:szCs w:val="32"/>
        </w:rPr>
        <w:t>2.依申请公开情况。</w:t>
      </w:r>
      <w:r>
        <w:rPr>
          <w:rFonts w:hint="eastAsia" w:ascii="仿宋_GB2312" w:hAnsi="仿宋_GB2312" w:eastAsia="仿宋_GB2312" w:cs="仿宋_GB2312"/>
          <w:sz w:val="32"/>
          <w:szCs w:val="32"/>
        </w:rPr>
        <w:t>2020年共收到政府信息公开申请8件，均严格按照依申请公开有关规定予以办理。其中，6件公开了相关政府信息；1件所涉及材料属于国家秘密仍处于保密期，按规定不予公开；1件所涉及档案材料我局不掌握相关材料,已移交其他市直部门。</w:t>
      </w:r>
    </w:p>
    <w:p>
      <w:pPr>
        <w:pStyle w:val="8"/>
        <w:widowControl/>
        <w:spacing w:beforeAutospacing="0" w:afterAutospacing="0" w:line="560" w:lineRule="exact"/>
        <w:ind w:firstLine="640" w:firstLineChars="200"/>
        <w:jc w:val="both"/>
        <w:rPr>
          <w:rFonts w:ascii="仿宋_GB2312" w:hAnsi="仿宋_GB2312" w:eastAsia="仿宋_GB2312" w:cs="仿宋_GB2312"/>
          <w:color w:val="000000"/>
          <w:sz w:val="32"/>
          <w:szCs w:val="32"/>
          <w:shd w:val="clear" w:color="auto" w:fill="FFFFFF"/>
        </w:rPr>
      </w:pPr>
      <w:r>
        <w:rPr>
          <w:rFonts w:hint="eastAsia" w:ascii="楷体" w:hAnsi="楷体" w:eastAsia="楷体" w:cs="楷体"/>
          <w:color w:val="000000"/>
          <w:sz w:val="32"/>
          <w:szCs w:val="32"/>
          <w:shd w:val="clear" w:color="auto" w:fill="FFFFFF"/>
        </w:rPr>
        <w:t>3.政府信息管理情况。</w:t>
      </w:r>
      <w:r>
        <w:rPr>
          <w:rFonts w:hint="eastAsia" w:ascii="仿宋_GB2312" w:hAnsi="仿宋_GB2312" w:eastAsia="仿宋_GB2312" w:cs="仿宋_GB2312"/>
          <w:color w:val="000000"/>
          <w:sz w:val="32"/>
          <w:szCs w:val="32"/>
          <w:shd w:val="clear" w:color="auto" w:fill="FFFFFF"/>
        </w:rPr>
        <w:t>建立公开内容动态调整机制，及时衔接权责清单和行政审批事项，加大涉及群众切身利益、需要社会广泛知晓的重要改革方案、重大政策措施和重点工程项目的公开力度，定期对公开内容进行梳理并及时更新。完善政府信息公开保密审查和监督检查机制，严格落实政府信息公开审查制度，对需公开发布的信息经科室审核和保密审查后，由分管领导签署审批意见，再进行备案统一对外发布，切实做到“一事一审查”、“先审查、后公开”，确保了信息公开工作的规范性和安全性。</w:t>
      </w:r>
      <w:r>
        <w:rPr>
          <w:rFonts w:hint="eastAsia" w:ascii="仿宋_GB2312" w:hAnsi="仿宋_GB2312" w:eastAsia="仿宋_GB2312" w:cs="仿宋_GB2312"/>
          <w:sz w:val="32"/>
          <w:szCs w:val="32"/>
        </w:rPr>
        <w:t>2020年在政府信息公开平台的目录信息更新量为452条，其中</w:t>
      </w:r>
      <w:r>
        <w:rPr>
          <w:rFonts w:hint="eastAsia" w:ascii="仿宋_GB2312" w:hAnsi="仿宋_GB2312" w:eastAsia="仿宋_GB2312" w:cs="仿宋_GB2312"/>
          <w:color w:val="000000"/>
          <w:sz w:val="32"/>
          <w:szCs w:val="32"/>
          <w:shd w:val="clear" w:color="auto" w:fill="FFFFFF"/>
        </w:rPr>
        <w:t>涉及群众切身利益、需要社会广泛知晓</w:t>
      </w:r>
      <w:r>
        <w:rPr>
          <w:rFonts w:hint="eastAsia" w:ascii="仿宋_GB2312" w:hAnsi="仿宋_GB2312" w:eastAsia="仿宋_GB2312" w:cs="仿宋_GB2312"/>
          <w:sz w:val="32"/>
          <w:szCs w:val="32"/>
        </w:rPr>
        <w:t>的事项配发解读材料6件，主要负责人带头解读政策1件。</w:t>
      </w:r>
    </w:p>
    <w:p>
      <w:pPr>
        <w:pStyle w:val="8"/>
        <w:widowControl/>
        <w:spacing w:beforeAutospacing="0" w:afterAutospacing="0" w:line="560" w:lineRule="exact"/>
        <w:ind w:firstLine="640" w:firstLineChars="200"/>
        <w:jc w:val="both"/>
        <w:rPr>
          <w:rFonts w:ascii="仿宋_GB2312" w:hAnsi="仿宋_GB2312" w:eastAsia="仿宋_GB2312" w:cs="仿宋_GB2312"/>
          <w:color w:val="000000"/>
          <w:sz w:val="32"/>
          <w:szCs w:val="32"/>
          <w:shd w:val="clear" w:color="auto" w:fill="FFFFFF"/>
        </w:rPr>
      </w:pPr>
      <w:r>
        <w:rPr>
          <w:rFonts w:hint="eastAsia" w:ascii="楷体" w:hAnsi="楷体" w:eastAsia="楷体" w:cs="楷体"/>
          <w:color w:val="000000"/>
          <w:sz w:val="32"/>
          <w:szCs w:val="32"/>
          <w:shd w:val="clear" w:color="auto" w:fill="FFFFFF"/>
        </w:rPr>
        <w:t>4.平台建设情况。</w:t>
      </w:r>
      <w:r>
        <w:rPr>
          <w:rFonts w:hint="eastAsia" w:ascii="仿宋_GB2312" w:hAnsi="仿宋_GB2312" w:eastAsia="仿宋_GB2312" w:cs="仿宋_GB2312"/>
          <w:color w:val="000000"/>
          <w:sz w:val="32"/>
          <w:szCs w:val="32"/>
          <w:shd w:val="clear" w:color="auto" w:fill="FFFFFF"/>
        </w:rPr>
        <w:t>扎实做好新政务公开平台的历史数据迁移和内容更新维护工作，使政务公开工作水平再上新台阶。加强网站、微信、微博发布平台融合和优势互补，依托</w:t>
      </w:r>
      <w:r>
        <w:rPr>
          <w:rFonts w:hint="eastAsia" w:ascii="仿宋_GB2312" w:hAnsi="仿宋_GB2312" w:eastAsia="仿宋_GB2312" w:cs="仿宋_GB2312"/>
          <w:sz w:val="32"/>
          <w:szCs w:val="32"/>
        </w:rPr>
        <w:t>政府信息公开新平台</w:t>
      </w:r>
      <w:r>
        <w:rPr>
          <w:rFonts w:hint="eastAsia" w:ascii="仿宋_GB2312" w:hAnsi="仿宋_GB2312" w:eastAsia="仿宋_GB2312" w:cs="仿宋_GB2312"/>
          <w:color w:val="000000"/>
          <w:sz w:val="32"/>
          <w:szCs w:val="32"/>
          <w:shd w:val="clear" w:color="auto" w:fill="FFFFFF"/>
        </w:rPr>
        <w:t>调整信息栏目设置，政务信息查阅更加便利快捷。淄博市教育局门户网站、“淄博教育发布”微信公众号和“淄博教育”新浪微博账号是本机关主动公开政府信息的主平台。2020年全年，门户网站发布信息6917条，“淄博教育发布”微信公众号发布信息1109条，“淄博教育”新浪微博账号发布信息265条，“淄博教育”今日头条号发布信息100条。加强政民互动交流平台建设，共收到互动留言977条，全部及时办理。</w:t>
      </w:r>
    </w:p>
    <w:p>
      <w:pPr>
        <w:widowControl/>
        <w:jc w:val="center"/>
        <w:rPr>
          <w:rFonts w:ascii="宋体" w:hAnsi="宋体" w:eastAsia="宋体" w:cs="宋体"/>
          <w:kern w:val="0"/>
          <w:sz w:val="24"/>
          <w:szCs w:val="24"/>
        </w:rPr>
      </w:pPr>
      <w:r>
        <w:rPr>
          <w:rFonts w:hint="eastAsia" w:ascii="仿宋_GB2312" w:hAnsi="仿宋_GB2312" w:eastAsia="仿宋_GB2312" w:cs="仿宋_GB2312"/>
          <w:color w:val="000000"/>
          <w:sz w:val="32"/>
          <w:szCs w:val="32"/>
          <w:shd w:val="clear" w:color="auto" w:fill="FFFFFF"/>
        </w:rPr>
        <w:drawing>
          <wp:inline distT="0" distB="0" distL="114300" distR="114300">
            <wp:extent cx="2959100" cy="3881120"/>
            <wp:effectExtent l="0" t="0" r="12700" b="5080"/>
            <wp:docPr id="5" name="图片 5" descr="淄博市教育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淄博市教育局"/>
                    <pic:cNvPicPr>
                      <a:picLocks noChangeAspect="1"/>
                    </pic:cNvPicPr>
                  </pic:nvPicPr>
                  <pic:blipFill>
                    <a:blip r:embed="rId7"/>
                    <a:stretch>
                      <a:fillRect/>
                    </a:stretch>
                  </pic:blipFill>
                  <pic:spPr>
                    <a:xfrm>
                      <a:off x="0" y="0"/>
                      <a:ext cx="2959100" cy="3881120"/>
                    </a:xfrm>
                    <a:prstGeom prst="rect">
                      <a:avLst/>
                    </a:prstGeom>
                  </pic:spPr>
                </pic:pic>
              </a:graphicData>
            </a:graphic>
          </wp:inline>
        </w:drawing>
      </w:r>
      <w:r>
        <w:rPr>
          <w:rFonts w:ascii="宋体" w:hAnsi="宋体" w:eastAsia="宋体" w:cs="宋体"/>
          <w:kern w:val="0"/>
          <w:sz w:val="24"/>
          <w:szCs w:val="24"/>
        </w:rPr>
        <w:drawing>
          <wp:inline distT="0" distB="0" distL="114300" distR="114300">
            <wp:extent cx="2378710" cy="3891915"/>
            <wp:effectExtent l="0" t="0" r="2540" b="1333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8"/>
                    <a:stretch>
                      <a:fillRect/>
                    </a:stretch>
                  </pic:blipFill>
                  <pic:spPr>
                    <a:xfrm>
                      <a:off x="0" y="0"/>
                      <a:ext cx="2378710" cy="3891915"/>
                    </a:xfrm>
                    <a:prstGeom prst="rect">
                      <a:avLst/>
                    </a:prstGeom>
                    <a:noFill/>
                    <a:ln w="9525">
                      <a:noFill/>
                    </a:ln>
                  </pic:spPr>
                </pic:pic>
              </a:graphicData>
            </a:graphic>
          </wp:inline>
        </w:drawing>
      </w:r>
    </w:p>
    <w:p>
      <w:pPr>
        <w:pStyle w:val="2"/>
      </w:pPr>
      <w:r>
        <w:drawing>
          <wp:inline distT="0" distB="0" distL="114300" distR="114300">
            <wp:extent cx="5356860" cy="2419350"/>
            <wp:effectExtent l="1905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9"/>
                    <a:stretch>
                      <a:fillRect/>
                    </a:stretch>
                  </pic:blipFill>
                  <pic:spPr>
                    <a:xfrm>
                      <a:off x="0" y="0"/>
                      <a:ext cx="5356860" cy="2419350"/>
                    </a:xfrm>
                    <a:prstGeom prst="rect">
                      <a:avLst/>
                    </a:prstGeom>
                    <a:noFill/>
                    <a:ln>
                      <a:noFill/>
                    </a:ln>
                  </pic:spPr>
                </pic:pic>
              </a:graphicData>
            </a:graphic>
          </wp:inline>
        </w:drawing>
      </w:r>
    </w:p>
    <w:p>
      <w:pPr>
        <w:widowControl/>
        <w:jc w:val="left"/>
        <w:rPr>
          <w:rFonts w:ascii="仿宋_GB2312" w:hAnsi="仿宋_GB2312" w:eastAsia="仿宋_GB2312" w:cs="仿宋_GB2312"/>
          <w:color w:val="000000"/>
          <w:sz w:val="32"/>
          <w:szCs w:val="32"/>
          <w:shd w:val="clear" w:color="auto" w:fill="FFFFFF"/>
        </w:rPr>
      </w:pPr>
      <w:r>
        <w:rPr>
          <w:rFonts w:ascii="宋体" w:hAnsi="宋体" w:eastAsia="宋体" w:cs="宋体"/>
          <w:kern w:val="0"/>
          <w:sz w:val="24"/>
          <w:szCs w:val="24"/>
        </w:rPr>
        <w:drawing>
          <wp:inline distT="0" distB="0" distL="114300" distR="114300">
            <wp:extent cx="5567045" cy="4752975"/>
            <wp:effectExtent l="1905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5567045" cy="4752975"/>
                    </a:xfrm>
                    <a:prstGeom prst="rect">
                      <a:avLst/>
                    </a:prstGeom>
                    <a:noFill/>
                    <a:ln w="9525">
                      <a:noFill/>
                    </a:ln>
                  </pic:spPr>
                </pic:pic>
              </a:graphicData>
            </a:graphic>
          </wp:inline>
        </w:drawing>
      </w:r>
    </w:p>
    <w:p>
      <w:pPr>
        <w:pStyle w:val="8"/>
        <w:widowControl/>
        <w:shd w:val="clear" w:color="auto" w:fill="FFFFFF"/>
        <w:spacing w:beforeAutospacing="0" w:afterAutospacing="0" w:line="560" w:lineRule="exact"/>
        <w:ind w:firstLine="640" w:firstLineChars="200"/>
        <w:rPr>
          <w:rFonts w:hint="eastAsia" w:ascii="楷体" w:hAnsi="楷体" w:eastAsia="楷体" w:cs="楷体"/>
          <w:color w:val="000000"/>
          <w:sz w:val="32"/>
          <w:szCs w:val="32"/>
          <w:shd w:val="clear" w:color="auto" w:fill="FFFFFF"/>
        </w:rPr>
      </w:pPr>
    </w:p>
    <w:p>
      <w:pPr>
        <w:pStyle w:val="8"/>
        <w:widowControl/>
        <w:shd w:val="clear" w:color="auto" w:fill="FFFFFF"/>
        <w:spacing w:beforeAutospacing="0" w:afterAutospacing="0" w:line="560" w:lineRule="exact"/>
        <w:ind w:firstLine="640" w:firstLineChars="200"/>
        <w:rPr>
          <w:rFonts w:ascii="宋体" w:hAnsi="宋体" w:eastAsia="宋体" w:cs="宋体"/>
          <w:color w:val="333333"/>
          <w:sz w:val="31"/>
          <w:szCs w:val="31"/>
        </w:rPr>
      </w:pPr>
      <w:r>
        <w:rPr>
          <w:rFonts w:hint="eastAsia" w:ascii="楷体" w:hAnsi="楷体" w:eastAsia="楷体" w:cs="楷体"/>
          <w:color w:val="000000"/>
          <w:sz w:val="32"/>
          <w:szCs w:val="32"/>
          <w:shd w:val="clear" w:color="auto" w:fill="FFFFFF"/>
        </w:rPr>
        <w:t>5.监督保障情况。</w:t>
      </w:r>
      <w:r>
        <w:rPr>
          <w:rFonts w:hint="eastAsia" w:ascii="仿宋_GB2312" w:hAnsi="仿宋_GB2312" w:eastAsia="仿宋_GB2312" w:cs="仿宋_GB2312"/>
          <w:color w:val="000000"/>
          <w:sz w:val="32"/>
          <w:szCs w:val="32"/>
          <w:shd w:val="clear" w:color="auto" w:fill="FFFFFF"/>
        </w:rPr>
        <w:t>将政务公开工作纳入领导分工，局主要领导和分管负责同志定期听取政务公开工作汇报，研究部署政务公开工作。采取日常检查与集中讲评相结合的方式，促进我局经常性政府信息公开工作。日常检查以自查为主，每月组织一次，每月末由科室、单位和学校自行组织，对存在的问题自行整改；领导小组联合宣传和思想政治工作科不定期进行检查，每季度组织一次，主要结合各项工作进度，检查信息发布是否及时全面、发布程序是否规范等。检查情况将结合日常工作适时下发通报。</w:t>
      </w:r>
    </w:p>
    <w:p>
      <w:pPr>
        <w:spacing w:line="560" w:lineRule="exact"/>
        <w:ind w:firstLine="640" w:firstLineChars="200"/>
        <w:rPr>
          <w:b/>
          <w:sz w:val="24"/>
          <w:szCs w:val="24"/>
        </w:rPr>
      </w:pPr>
      <w:r>
        <w:rPr>
          <w:rFonts w:hint="eastAsia" w:ascii="黑体" w:hAnsi="黑体" w:eastAsia="黑体" w:cs="黑体"/>
          <w:bCs/>
          <w:sz w:val="32"/>
          <w:szCs w:val="32"/>
        </w:rPr>
        <w:t>二、主动公开政府信息情况</w:t>
      </w:r>
    </w:p>
    <w:tbl>
      <w:tblPr>
        <w:tblStyle w:val="10"/>
        <w:tblW w:w="9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0"/>
        <w:gridCol w:w="2012"/>
        <w:gridCol w:w="2057"/>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051" w:type="dxa"/>
            <w:gridSpan w:val="4"/>
            <w:vAlign w:val="center"/>
          </w:tcPr>
          <w:p>
            <w:pPr>
              <w:jc w:val="center"/>
              <w:rPr>
                <w:sz w:val="24"/>
                <w:szCs w:val="24"/>
              </w:rPr>
            </w:pPr>
            <w:r>
              <w:rPr>
                <w:rFonts w:hint="eastAsia"/>
                <w:sz w:val="24"/>
                <w:szCs w:val="24"/>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730" w:type="dxa"/>
            <w:vAlign w:val="center"/>
          </w:tcPr>
          <w:p>
            <w:pPr>
              <w:jc w:val="center"/>
              <w:rPr>
                <w:sz w:val="24"/>
                <w:szCs w:val="24"/>
              </w:rPr>
            </w:pPr>
            <w:r>
              <w:rPr>
                <w:rFonts w:hint="eastAsia"/>
                <w:sz w:val="24"/>
                <w:szCs w:val="24"/>
              </w:rPr>
              <w:t>信息内容</w:t>
            </w:r>
          </w:p>
        </w:tc>
        <w:tc>
          <w:tcPr>
            <w:tcW w:w="2012" w:type="dxa"/>
            <w:vAlign w:val="center"/>
          </w:tcPr>
          <w:p>
            <w:pPr>
              <w:jc w:val="center"/>
              <w:rPr>
                <w:sz w:val="24"/>
                <w:szCs w:val="24"/>
              </w:rPr>
            </w:pPr>
            <w:r>
              <w:rPr>
                <w:rFonts w:hint="eastAsia"/>
                <w:sz w:val="24"/>
                <w:szCs w:val="24"/>
              </w:rPr>
              <w:t>本年新制作数量</w:t>
            </w:r>
          </w:p>
        </w:tc>
        <w:tc>
          <w:tcPr>
            <w:tcW w:w="2057" w:type="dxa"/>
            <w:vAlign w:val="center"/>
          </w:tcPr>
          <w:p>
            <w:pPr>
              <w:jc w:val="center"/>
              <w:rPr>
                <w:sz w:val="24"/>
                <w:szCs w:val="24"/>
              </w:rPr>
            </w:pPr>
            <w:r>
              <w:rPr>
                <w:rFonts w:hint="eastAsia"/>
                <w:sz w:val="24"/>
                <w:szCs w:val="24"/>
              </w:rPr>
              <w:t>本年新</w:t>
            </w:r>
          </w:p>
          <w:p>
            <w:pPr>
              <w:jc w:val="center"/>
              <w:rPr>
                <w:sz w:val="24"/>
                <w:szCs w:val="24"/>
              </w:rPr>
            </w:pPr>
            <w:r>
              <w:rPr>
                <w:rFonts w:hint="eastAsia"/>
                <w:sz w:val="24"/>
                <w:szCs w:val="24"/>
              </w:rPr>
              <w:t>公开数量</w:t>
            </w:r>
          </w:p>
        </w:tc>
        <w:tc>
          <w:tcPr>
            <w:tcW w:w="2252" w:type="dxa"/>
            <w:vAlign w:val="center"/>
          </w:tcPr>
          <w:p>
            <w:pPr>
              <w:jc w:val="center"/>
              <w:rPr>
                <w:sz w:val="24"/>
                <w:szCs w:val="24"/>
              </w:rPr>
            </w:pPr>
            <w:r>
              <w:rPr>
                <w:rFonts w:hint="eastAsia"/>
                <w:sz w:val="24"/>
                <w:szCs w:val="24"/>
              </w:rPr>
              <w:t>对外公开</w:t>
            </w:r>
          </w:p>
          <w:p>
            <w:pPr>
              <w:jc w:val="center"/>
              <w:rPr>
                <w:sz w:val="24"/>
                <w:szCs w:val="24"/>
              </w:rPr>
            </w:pPr>
            <w:r>
              <w:rPr>
                <w:rFonts w:hint="eastAsia"/>
                <w:sz w:val="24"/>
                <w:szCs w:val="24"/>
              </w:rPr>
              <w:t>总数量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730" w:type="dxa"/>
            <w:vAlign w:val="center"/>
          </w:tcPr>
          <w:p>
            <w:pPr>
              <w:jc w:val="center"/>
              <w:rPr>
                <w:sz w:val="24"/>
                <w:szCs w:val="24"/>
              </w:rPr>
            </w:pPr>
            <w:r>
              <w:rPr>
                <w:rFonts w:hint="eastAsia"/>
                <w:sz w:val="24"/>
                <w:szCs w:val="24"/>
              </w:rPr>
              <w:t>规章</w:t>
            </w:r>
          </w:p>
        </w:tc>
        <w:tc>
          <w:tcPr>
            <w:tcW w:w="2012" w:type="dxa"/>
            <w:vAlign w:val="center"/>
          </w:tcPr>
          <w:p>
            <w:pPr>
              <w:jc w:val="center"/>
              <w:rPr>
                <w:sz w:val="24"/>
                <w:szCs w:val="24"/>
              </w:rPr>
            </w:pPr>
            <w:r>
              <w:rPr>
                <w:rFonts w:hint="eastAsia"/>
                <w:sz w:val="24"/>
                <w:szCs w:val="24"/>
              </w:rPr>
              <w:t>0</w:t>
            </w:r>
          </w:p>
        </w:tc>
        <w:tc>
          <w:tcPr>
            <w:tcW w:w="2057" w:type="dxa"/>
            <w:vAlign w:val="center"/>
          </w:tcPr>
          <w:p>
            <w:pPr>
              <w:jc w:val="center"/>
              <w:rPr>
                <w:sz w:val="24"/>
                <w:szCs w:val="24"/>
              </w:rPr>
            </w:pPr>
            <w:r>
              <w:rPr>
                <w:rFonts w:hint="eastAsia"/>
                <w:sz w:val="24"/>
                <w:szCs w:val="24"/>
              </w:rPr>
              <w:t>0</w:t>
            </w:r>
          </w:p>
        </w:tc>
        <w:tc>
          <w:tcPr>
            <w:tcW w:w="2252" w:type="dxa"/>
            <w:vAlign w:val="center"/>
          </w:tcPr>
          <w:p>
            <w:pPr>
              <w:jc w:val="center"/>
              <w:rPr>
                <w:sz w:val="24"/>
                <w:szCs w:val="24"/>
              </w:rPr>
            </w:pPr>
            <w:r>
              <w:rPr>
                <w:rFonts w:hint="eastAsia"/>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730" w:type="dxa"/>
            <w:vAlign w:val="center"/>
          </w:tcPr>
          <w:p>
            <w:pPr>
              <w:jc w:val="center"/>
              <w:rPr>
                <w:sz w:val="24"/>
                <w:szCs w:val="24"/>
              </w:rPr>
            </w:pPr>
            <w:r>
              <w:rPr>
                <w:rFonts w:hint="eastAsia"/>
                <w:sz w:val="24"/>
                <w:szCs w:val="24"/>
              </w:rPr>
              <w:t>规范性文件</w:t>
            </w:r>
          </w:p>
        </w:tc>
        <w:tc>
          <w:tcPr>
            <w:tcW w:w="2012" w:type="dxa"/>
            <w:vAlign w:val="center"/>
          </w:tcPr>
          <w:p>
            <w:pPr>
              <w:jc w:val="center"/>
              <w:rPr>
                <w:sz w:val="24"/>
                <w:szCs w:val="24"/>
              </w:rPr>
            </w:pPr>
            <w:r>
              <w:rPr>
                <w:rFonts w:hint="eastAsia"/>
                <w:sz w:val="24"/>
                <w:szCs w:val="24"/>
              </w:rPr>
              <w:t>3</w:t>
            </w:r>
          </w:p>
        </w:tc>
        <w:tc>
          <w:tcPr>
            <w:tcW w:w="2057" w:type="dxa"/>
            <w:vAlign w:val="center"/>
          </w:tcPr>
          <w:p>
            <w:pPr>
              <w:jc w:val="center"/>
              <w:rPr>
                <w:sz w:val="24"/>
                <w:szCs w:val="24"/>
              </w:rPr>
            </w:pPr>
            <w:r>
              <w:rPr>
                <w:rFonts w:hint="eastAsia"/>
                <w:sz w:val="24"/>
                <w:szCs w:val="24"/>
              </w:rPr>
              <w:t>3</w:t>
            </w:r>
          </w:p>
        </w:tc>
        <w:tc>
          <w:tcPr>
            <w:tcW w:w="2252" w:type="dxa"/>
            <w:vAlign w:val="center"/>
          </w:tcPr>
          <w:p>
            <w:pPr>
              <w:jc w:val="center"/>
              <w:rPr>
                <w:sz w:val="24"/>
                <w:szCs w:val="24"/>
              </w:rPr>
            </w:pPr>
            <w:r>
              <w:rPr>
                <w:rFonts w:hint="eastAsia"/>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9051" w:type="dxa"/>
            <w:gridSpan w:val="4"/>
            <w:vAlign w:val="center"/>
          </w:tcPr>
          <w:p>
            <w:pPr>
              <w:jc w:val="center"/>
              <w:rPr>
                <w:sz w:val="24"/>
                <w:szCs w:val="24"/>
              </w:rPr>
            </w:pPr>
            <w:r>
              <w:rPr>
                <w:rFonts w:hint="eastAsia"/>
                <w:sz w:val="24"/>
                <w:szCs w:val="24"/>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2730" w:type="dxa"/>
            <w:vAlign w:val="center"/>
          </w:tcPr>
          <w:p>
            <w:pPr>
              <w:jc w:val="center"/>
              <w:rPr>
                <w:sz w:val="24"/>
                <w:szCs w:val="24"/>
              </w:rPr>
            </w:pPr>
            <w:r>
              <w:rPr>
                <w:rFonts w:hint="eastAsia"/>
                <w:sz w:val="24"/>
                <w:szCs w:val="24"/>
              </w:rPr>
              <w:t>信息内容</w:t>
            </w:r>
          </w:p>
        </w:tc>
        <w:tc>
          <w:tcPr>
            <w:tcW w:w="2012" w:type="dxa"/>
            <w:vAlign w:val="center"/>
          </w:tcPr>
          <w:p>
            <w:pPr>
              <w:jc w:val="center"/>
              <w:rPr>
                <w:sz w:val="24"/>
                <w:szCs w:val="24"/>
              </w:rPr>
            </w:pPr>
            <w:r>
              <w:rPr>
                <w:rFonts w:hint="eastAsia"/>
                <w:sz w:val="24"/>
                <w:szCs w:val="24"/>
              </w:rPr>
              <w:t>上一年项目数量</w:t>
            </w:r>
          </w:p>
        </w:tc>
        <w:tc>
          <w:tcPr>
            <w:tcW w:w="2057" w:type="dxa"/>
            <w:vAlign w:val="center"/>
          </w:tcPr>
          <w:p>
            <w:pPr>
              <w:jc w:val="center"/>
              <w:rPr>
                <w:sz w:val="24"/>
                <w:szCs w:val="24"/>
              </w:rPr>
            </w:pPr>
            <w:r>
              <w:rPr>
                <w:rFonts w:hint="eastAsia"/>
                <w:sz w:val="24"/>
                <w:szCs w:val="24"/>
              </w:rPr>
              <w:t>本年增/减</w:t>
            </w:r>
          </w:p>
        </w:tc>
        <w:tc>
          <w:tcPr>
            <w:tcW w:w="2252" w:type="dxa"/>
            <w:vAlign w:val="center"/>
          </w:tcPr>
          <w:p>
            <w:pPr>
              <w:jc w:val="center"/>
              <w:rPr>
                <w:sz w:val="24"/>
                <w:szCs w:val="24"/>
              </w:rPr>
            </w:pPr>
            <w:r>
              <w:rPr>
                <w:rFonts w:hint="eastAsia"/>
                <w:sz w:val="24"/>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730" w:type="dxa"/>
            <w:vAlign w:val="center"/>
          </w:tcPr>
          <w:p>
            <w:pPr>
              <w:jc w:val="center"/>
              <w:rPr>
                <w:sz w:val="24"/>
                <w:szCs w:val="24"/>
              </w:rPr>
            </w:pPr>
            <w:r>
              <w:rPr>
                <w:rFonts w:hint="eastAsia"/>
                <w:sz w:val="24"/>
                <w:szCs w:val="24"/>
              </w:rPr>
              <w:t>行政许可</w:t>
            </w:r>
          </w:p>
        </w:tc>
        <w:tc>
          <w:tcPr>
            <w:tcW w:w="2012" w:type="dxa"/>
            <w:vAlign w:val="center"/>
          </w:tcPr>
          <w:p>
            <w:pPr>
              <w:jc w:val="center"/>
              <w:rPr>
                <w:rFonts w:hint="eastAsia" w:eastAsiaTheme="minorEastAsia"/>
                <w:sz w:val="24"/>
                <w:szCs w:val="24"/>
                <w:lang w:eastAsia="zh-CN"/>
              </w:rPr>
            </w:pPr>
            <w:r>
              <w:rPr>
                <w:rFonts w:hint="eastAsia"/>
                <w:sz w:val="24"/>
                <w:szCs w:val="24"/>
                <w:lang w:val="en-US" w:eastAsia="zh-CN"/>
              </w:rPr>
              <w:t>4</w:t>
            </w:r>
          </w:p>
        </w:tc>
        <w:tc>
          <w:tcPr>
            <w:tcW w:w="2057" w:type="dxa"/>
            <w:vAlign w:val="center"/>
          </w:tcPr>
          <w:p>
            <w:pPr>
              <w:jc w:val="center"/>
              <w:rPr>
                <w:rFonts w:hint="default" w:eastAsiaTheme="minorEastAsia"/>
                <w:sz w:val="24"/>
                <w:szCs w:val="24"/>
                <w:lang w:val="en-US" w:eastAsia="zh-CN"/>
              </w:rPr>
            </w:pPr>
            <w:r>
              <w:rPr>
                <w:rFonts w:hint="eastAsia"/>
                <w:sz w:val="24"/>
                <w:szCs w:val="24"/>
                <w:lang w:val="en-US" w:eastAsia="zh-CN"/>
              </w:rPr>
              <w:t>-3</w:t>
            </w:r>
          </w:p>
        </w:tc>
        <w:tc>
          <w:tcPr>
            <w:tcW w:w="2252" w:type="dxa"/>
            <w:vAlign w:val="center"/>
          </w:tcPr>
          <w:p>
            <w:pPr>
              <w:jc w:val="center"/>
              <w:rPr>
                <w:sz w:val="24"/>
                <w:szCs w:val="24"/>
              </w:rPr>
            </w:pPr>
            <w:r>
              <w:rPr>
                <w:rFonts w:hint="eastAsia"/>
                <w:sz w:val="24"/>
                <w:szCs w:val="24"/>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730" w:type="dxa"/>
            <w:vAlign w:val="center"/>
          </w:tcPr>
          <w:p>
            <w:pPr>
              <w:jc w:val="center"/>
              <w:rPr>
                <w:sz w:val="24"/>
                <w:szCs w:val="24"/>
              </w:rPr>
            </w:pPr>
            <w:r>
              <w:rPr>
                <w:rFonts w:hint="eastAsia"/>
                <w:sz w:val="24"/>
                <w:szCs w:val="24"/>
              </w:rPr>
              <w:t>其他对外管理服务事项</w:t>
            </w:r>
          </w:p>
        </w:tc>
        <w:tc>
          <w:tcPr>
            <w:tcW w:w="2012" w:type="dxa"/>
            <w:vAlign w:val="center"/>
          </w:tcPr>
          <w:p>
            <w:pPr>
              <w:jc w:val="center"/>
              <w:rPr>
                <w:rFonts w:hint="default" w:eastAsiaTheme="minorEastAsia"/>
                <w:sz w:val="24"/>
                <w:szCs w:val="24"/>
                <w:lang w:val="en-US" w:eastAsia="zh-CN"/>
              </w:rPr>
            </w:pPr>
            <w:r>
              <w:rPr>
                <w:rFonts w:hint="eastAsia"/>
                <w:sz w:val="24"/>
                <w:szCs w:val="24"/>
                <w:lang w:val="en-US" w:eastAsia="zh-CN"/>
              </w:rPr>
              <w:t>55</w:t>
            </w:r>
          </w:p>
        </w:tc>
        <w:tc>
          <w:tcPr>
            <w:tcW w:w="2057" w:type="dxa"/>
            <w:vAlign w:val="center"/>
          </w:tcPr>
          <w:p>
            <w:pPr>
              <w:jc w:val="center"/>
              <w:rPr>
                <w:rFonts w:hint="default" w:eastAsiaTheme="minorEastAsia"/>
                <w:sz w:val="24"/>
                <w:szCs w:val="24"/>
                <w:lang w:val="en-US" w:eastAsia="zh-CN"/>
              </w:rPr>
            </w:pPr>
            <w:r>
              <w:rPr>
                <w:rFonts w:hint="eastAsia"/>
                <w:sz w:val="24"/>
                <w:szCs w:val="24"/>
                <w:lang w:val="en-US" w:eastAsia="zh-CN"/>
              </w:rPr>
              <w:t>-3</w:t>
            </w:r>
          </w:p>
        </w:tc>
        <w:tc>
          <w:tcPr>
            <w:tcW w:w="2252" w:type="dxa"/>
            <w:vAlign w:val="center"/>
          </w:tcPr>
          <w:p>
            <w:pPr>
              <w:jc w:val="center"/>
              <w:rPr>
                <w:sz w:val="24"/>
                <w:szCs w:val="24"/>
              </w:rPr>
            </w:pPr>
            <w:r>
              <w:rPr>
                <w:rFonts w:hint="eastAsia"/>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051" w:type="dxa"/>
            <w:gridSpan w:val="4"/>
            <w:vAlign w:val="center"/>
          </w:tcPr>
          <w:p>
            <w:pPr>
              <w:jc w:val="center"/>
              <w:rPr>
                <w:sz w:val="24"/>
                <w:szCs w:val="24"/>
              </w:rPr>
            </w:pPr>
            <w:r>
              <w:rPr>
                <w:rFonts w:hint="eastAsia"/>
                <w:sz w:val="24"/>
                <w:szCs w:val="24"/>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730" w:type="dxa"/>
            <w:vAlign w:val="center"/>
          </w:tcPr>
          <w:p>
            <w:pPr>
              <w:jc w:val="center"/>
              <w:rPr>
                <w:sz w:val="24"/>
                <w:szCs w:val="24"/>
              </w:rPr>
            </w:pPr>
            <w:r>
              <w:rPr>
                <w:rFonts w:hint="eastAsia"/>
                <w:sz w:val="24"/>
                <w:szCs w:val="24"/>
              </w:rPr>
              <w:t>信息内容</w:t>
            </w:r>
          </w:p>
        </w:tc>
        <w:tc>
          <w:tcPr>
            <w:tcW w:w="2012" w:type="dxa"/>
            <w:vAlign w:val="center"/>
          </w:tcPr>
          <w:p>
            <w:pPr>
              <w:jc w:val="center"/>
              <w:rPr>
                <w:sz w:val="24"/>
                <w:szCs w:val="24"/>
              </w:rPr>
            </w:pPr>
            <w:r>
              <w:rPr>
                <w:rFonts w:hint="eastAsia"/>
                <w:sz w:val="24"/>
                <w:szCs w:val="24"/>
              </w:rPr>
              <w:t>上一年项目数量</w:t>
            </w:r>
          </w:p>
        </w:tc>
        <w:tc>
          <w:tcPr>
            <w:tcW w:w="2057" w:type="dxa"/>
            <w:vAlign w:val="center"/>
          </w:tcPr>
          <w:p>
            <w:pPr>
              <w:jc w:val="center"/>
              <w:rPr>
                <w:sz w:val="24"/>
                <w:szCs w:val="24"/>
              </w:rPr>
            </w:pPr>
            <w:r>
              <w:rPr>
                <w:rFonts w:hint="eastAsia"/>
                <w:sz w:val="24"/>
                <w:szCs w:val="24"/>
              </w:rPr>
              <w:t>本年增/减</w:t>
            </w:r>
          </w:p>
        </w:tc>
        <w:tc>
          <w:tcPr>
            <w:tcW w:w="2252" w:type="dxa"/>
            <w:vAlign w:val="center"/>
          </w:tcPr>
          <w:p>
            <w:pPr>
              <w:jc w:val="center"/>
              <w:rPr>
                <w:sz w:val="24"/>
                <w:szCs w:val="24"/>
              </w:rPr>
            </w:pPr>
            <w:r>
              <w:rPr>
                <w:rFonts w:hint="eastAsia"/>
                <w:sz w:val="24"/>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730" w:type="dxa"/>
            <w:vAlign w:val="center"/>
          </w:tcPr>
          <w:p>
            <w:pPr>
              <w:jc w:val="center"/>
              <w:rPr>
                <w:sz w:val="24"/>
                <w:szCs w:val="24"/>
              </w:rPr>
            </w:pPr>
            <w:r>
              <w:rPr>
                <w:rFonts w:hint="eastAsia"/>
                <w:sz w:val="24"/>
                <w:szCs w:val="24"/>
              </w:rPr>
              <w:t>行政处罚</w:t>
            </w:r>
          </w:p>
        </w:tc>
        <w:tc>
          <w:tcPr>
            <w:tcW w:w="2012" w:type="dxa"/>
            <w:vAlign w:val="center"/>
          </w:tcPr>
          <w:p>
            <w:pPr>
              <w:jc w:val="center"/>
              <w:rPr>
                <w:rFonts w:hint="default" w:eastAsiaTheme="minorEastAsia"/>
                <w:sz w:val="24"/>
                <w:szCs w:val="24"/>
                <w:lang w:val="en-US" w:eastAsia="zh-CN"/>
              </w:rPr>
            </w:pPr>
            <w:r>
              <w:rPr>
                <w:rFonts w:hint="eastAsia"/>
                <w:sz w:val="24"/>
                <w:szCs w:val="24"/>
                <w:lang w:val="en-US" w:eastAsia="zh-CN"/>
              </w:rPr>
              <w:t>20</w:t>
            </w:r>
            <w:bookmarkStart w:id="0" w:name="_GoBack"/>
            <w:bookmarkEnd w:id="0"/>
          </w:p>
        </w:tc>
        <w:tc>
          <w:tcPr>
            <w:tcW w:w="2057" w:type="dxa"/>
            <w:vAlign w:val="center"/>
          </w:tcPr>
          <w:p>
            <w:pPr>
              <w:jc w:val="center"/>
              <w:rPr>
                <w:rFonts w:hint="default" w:eastAsiaTheme="minorEastAsia"/>
                <w:sz w:val="24"/>
                <w:szCs w:val="24"/>
                <w:lang w:val="en-US" w:eastAsia="zh-CN"/>
              </w:rPr>
            </w:pPr>
            <w:r>
              <w:rPr>
                <w:rFonts w:hint="eastAsia"/>
                <w:sz w:val="24"/>
                <w:szCs w:val="24"/>
                <w:lang w:val="en-US" w:eastAsia="zh-CN"/>
              </w:rPr>
              <w:t>+3</w:t>
            </w:r>
          </w:p>
        </w:tc>
        <w:tc>
          <w:tcPr>
            <w:tcW w:w="2252" w:type="dxa"/>
            <w:vAlign w:val="center"/>
          </w:tcPr>
          <w:p>
            <w:pPr>
              <w:jc w:val="center"/>
              <w:rPr>
                <w:sz w:val="24"/>
                <w:szCs w:val="24"/>
              </w:rPr>
            </w:pPr>
            <w:r>
              <w:rPr>
                <w:rFonts w:hint="eastAsia"/>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730" w:type="dxa"/>
            <w:vAlign w:val="center"/>
          </w:tcPr>
          <w:p>
            <w:pPr>
              <w:jc w:val="center"/>
              <w:rPr>
                <w:sz w:val="24"/>
                <w:szCs w:val="24"/>
              </w:rPr>
            </w:pPr>
            <w:r>
              <w:rPr>
                <w:rFonts w:hint="eastAsia"/>
                <w:sz w:val="24"/>
                <w:szCs w:val="24"/>
              </w:rPr>
              <w:t>行政强制</w:t>
            </w:r>
          </w:p>
        </w:tc>
        <w:tc>
          <w:tcPr>
            <w:tcW w:w="2012" w:type="dxa"/>
            <w:vAlign w:val="center"/>
          </w:tcPr>
          <w:p>
            <w:pPr>
              <w:jc w:val="center"/>
              <w:rPr>
                <w:rFonts w:hint="eastAsia" w:eastAsiaTheme="minorEastAsia"/>
                <w:sz w:val="24"/>
                <w:szCs w:val="24"/>
                <w:lang w:eastAsia="zh-CN"/>
              </w:rPr>
            </w:pPr>
            <w:r>
              <w:rPr>
                <w:rFonts w:hint="eastAsia"/>
                <w:sz w:val="24"/>
                <w:szCs w:val="24"/>
                <w:lang w:val="en-US" w:eastAsia="zh-CN"/>
              </w:rPr>
              <w:t>2</w:t>
            </w:r>
          </w:p>
        </w:tc>
        <w:tc>
          <w:tcPr>
            <w:tcW w:w="2057" w:type="dxa"/>
            <w:vAlign w:val="center"/>
          </w:tcPr>
          <w:p>
            <w:pPr>
              <w:jc w:val="center"/>
              <w:rPr>
                <w:sz w:val="24"/>
                <w:szCs w:val="24"/>
              </w:rPr>
            </w:pPr>
            <w:r>
              <w:rPr>
                <w:rFonts w:hint="eastAsia"/>
                <w:sz w:val="24"/>
                <w:szCs w:val="24"/>
              </w:rPr>
              <w:t>0</w:t>
            </w:r>
          </w:p>
        </w:tc>
        <w:tc>
          <w:tcPr>
            <w:tcW w:w="2252" w:type="dxa"/>
            <w:vAlign w:val="center"/>
          </w:tcPr>
          <w:p>
            <w:pPr>
              <w:jc w:val="center"/>
              <w:rPr>
                <w:sz w:val="24"/>
                <w:szCs w:val="24"/>
              </w:rPr>
            </w:pPr>
            <w:r>
              <w:rPr>
                <w:rFonts w:hint="eastAsia"/>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9051" w:type="dxa"/>
            <w:gridSpan w:val="4"/>
            <w:vAlign w:val="center"/>
          </w:tcPr>
          <w:p>
            <w:pPr>
              <w:jc w:val="center"/>
              <w:rPr>
                <w:sz w:val="24"/>
                <w:szCs w:val="24"/>
              </w:rPr>
            </w:pPr>
            <w:r>
              <w:rPr>
                <w:rFonts w:hint="eastAsia"/>
                <w:sz w:val="24"/>
                <w:szCs w:val="24"/>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730" w:type="dxa"/>
            <w:vAlign w:val="center"/>
          </w:tcPr>
          <w:p>
            <w:pPr>
              <w:jc w:val="center"/>
              <w:rPr>
                <w:sz w:val="24"/>
                <w:szCs w:val="24"/>
              </w:rPr>
            </w:pPr>
            <w:r>
              <w:rPr>
                <w:rFonts w:hint="eastAsia"/>
                <w:sz w:val="24"/>
                <w:szCs w:val="24"/>
              </w:rPr>
              <w:t>信息内容</w:t>
            </w:r>
          </w:p>
        </w:tc>
        <w:tc>
          <w:tcPr>
            <w:tcW w:w="2012" w:type="dxa"/>
            <w:vAlign w:val="center"/>
          </w:tcPr>
          <w:p>
            <w:pPr>
              <w:jc w:val="center"/>
              <w:rPr>
                <w:sz w:val="24"/>
                <w:szCs w:val="24"/>
              </w:rPr>
            </w:pPr>
            <w:r>
              <w:rPr>
                <w:rFonts w:hint="eastAsia"/>
                <w:sz w:val="24"/>
                <w:szCs w:val="24"/>
              </w:rPr>
              <w:t>上一年项目数量</w:t>
            </w:r>
          </w:p>
        </w:tc>
        <w:tc>
          <w:tcPr>
            <w:tcW w:w="4309" w:type="dxa"/>
            <w:gridSpan w:val="2"/>
            <w:vAlign w:val="center"/>
          </w:tcPr>
          <w:p>
            <w:pPr>
              <w:jc w:val="center"/>
              <w:rPr>
                <w:sz w:val="24"/>
                <w:szCs w:val="24"/>
              </w:rPr>
            </w:pPr>
            <w:r>
              <w:rPr>
                <w:rFonts w:hint="eastAsia"/>
                <w:sz w:val="24"/>
                <w:szCs w:val="24"/>
              </w:rPr>
              <w:t>本年增/减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730" w:type="dxa"/>
            <w:vAlign w:val="center"/>
          </w:tcPr>
          <w:p>
            <w:pPr>
              <w:jc w:val="center"/>
              <w:rPr>
                <w:sz w:val="24"/>
                <w:szCs w:val="24"/>
              </w:rPr>
            </w:pPr>
            <w:r>
              <w:rPr>
                <w:rFonts w:hint="eastAsia"/>
                <w:sz w:val="24"/>
                <w:szCs w:val="24"/>
              </w:rPr>
              <w:t>行政事业性收费</w:t>
            </w:r>
          </w:p>
        </w:tc>
        <w:tc>
          <w:tcPr>
            <w:tcW w:w="2012" w:type="dxa"/>
            <w:vAlign w:val="center"/>
          </w:tcPr>
          <w:p>
            <w:pPr>
              <w:jc w:val="center"/>
              <w:rPr>
                <w:sz w:val="24"/>
                <w:szCs w:val="24"/>
              </w:rPr>
            </w:pPr>
            <w:r>
              <w:rPr>
                <w:rFonts w:hint="eastAsia"/>
                <w:sz w:val="24"/>
                <w:szCs w:val="24"/>
              </w:rPr>
              <w:t>0</w:t>
            </w:r>
          </w:p>
        </w:tc>
        <w:tc>
          <w:tcPr>
            <w:tcW w:w="4309" w:type="dxa"/>
            <w:gridSpan w:val="2"/>
            <w:vAlign w:val="center"/>
          </w:tcPr>
          <w:p>
            <w:pPr>
              <w:jc w:val="center"/>
              <w:rPr>
                <w:sz w:val="24"/>
                <w:szCs w:val="24"/>
              </w:rPr>
            </w:pPr>
            <w:r>
              <w:rPr>
                <w:rFonts w:hint="eastAsia"/>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051" w:type="dxa"/>
            <w:gridSpan w:val="4"/>
            <w:vAlign w:val="center"/>
          </w:tcPr>
          <w:p>
            <w:pPr>
              <w:jc w:val="center"/>
              <w:rPr>
                <w:sz w:val="24"/>
                <w:szCs w:val="24"/>
              </w:rPr>
            </w:pPr>
            <w:r>
              <w:rPr>
                <w:rFonts w:hint="eastAsia"/>
                <w:sz w:val="24"/>
                <w:szCs w:val="24"/>
              </w:rPr>
              <w:t>第二十条第（九）项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730" w:type="dxa"/>
            <w:vAlign w:val="center"/>
          </w:tcPr>
          <w:p>
            <w:pPr>
              <w:jc w:val="center"/>
              <w:rPr>
                <w:sz w:val="24"/>
                <w:szCs w:val="24"/>
              </w:rPr>
            </w:pPr>
            <w:r>
              <w:rPr>
                <w:rFonts w:hint="eastAsia"/>
                <w:sz w:val="24"/>
                <w:szCs w:val="24"/>
              </w:rPr>
              <w:t>信息内容</w:t>
            </w:r>
          </w:p>
        </w:tc>
        <w:tc>
          <w:tcPr>
            <w:tcW w:w="2012" w:type="dxa"/>
            <w:vAlign w:val="center"/>
          </w:tcPr>
          <w:p>
            <w:pPr>
              <w:jc w:val="center"/>
              <w:rPr>
                <w:sz w:val="24"/>
                <w:szCs w:val="24"/>
              </w:rPr>
            </w:pPr>
            <w:r>
              <w:rPr>
                <w:rFonts w:hint="eastAsia"/>
                <w:sz w:val="24"/>
                <w:szCs w:val="24"/>
              </w:rPr>
              <w:t>采购项目数量</w:t>
            </w:r>
          </w:p>
        </w:tc>
        <w:tc>
          <w:tcPr>
            <w:tcW w:w="4309" w:type="dxa"/>
            <w:gridSpan w:val="2"/>
            <w:vAlign w:val="center"/>
          </w:tcPr>
          <w:p>
            <w:pPr>
              <w:jc w:val="center"/>
              <w:rPr>
                <w:sz w:val="24"/>
                <w:szCs w:val="24"/>
              </w:rPr>
            </w:pPr>
            <w:r>
              <w:rPr>
                <w:rFonts w:hint="eastAsia"/>
                <w:sz w:val="24"/>
                <w:szCs w:val="24"/>
              </w:rPr>
              <w:t>采购总金额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2730" w:type="dxa"/>
            <w:vAlign w:val="center"/>
          </w:tcPr>
          <w:p>
            <w:pPr>
              <w:jc w:val="center"/>
              <w:rPr>
                <w:sz w:val="24"/>
                <w:szCs w:val="24"/>
              </w:rPr>
            </w:pPr>
            <w:r>
              <w:rPr>
                <w:rFonts w:hint="eastAsia"/>
                <w:sz w:val="24"/>
                <w:szCs w:val="24"/>
              </w:rPr>
              <w:t>政府集中采购</w:t>
            </w:r>
          </w:p>
        </w:tc>
        <w:tc>
          <w:tcPr>
            <w:tcW w:w="2012" w:type="dxa"/>
            <w:vAlign w:val="center"/>
          </w:tcPr>
          <w:p>
            <w:pPr>
              <w:jc w:val="center"/>
              <w:rPr>
                <w:sz w:val="24"/>
                <w:szCs w:val="24"/>
              </w:rPr>
            </w:pPr>
            <w:r>
              <w:rPr>
                <w:rFonts w:hint="eastAsia"/>
                <w:sz w:val="24"/>
                <w:szCs w:val="24"/>
              </w:rPr>
              <w:t>17</w:t>
            </w:r>
          </w:p>
        </w:tc>
        <w:tc>
          <w:tcPr>
            <w:tcW w:w="4309" w:type="dxa"/>
            <w:gridSpan w:val="2"/>
            <w:vAlign w:val="center"/>
          </w:tcPr>
          <w:p>
            <w:pPr>
              <w:jc w:val="center"/>
              <w:rPr>
                <w:sz w:val="24"/>
                <w:szCs w:val="24"/>
              </w:rPr>
            </w:pPr>
            <w:r>
              <w:rPr>
                <w:rFonts w:hint="eastAsia"/>
                <w:sz w:val="24"/>
                <w:szCs w:val="24"/>
              </w:rPr>
              <w:t>614.42万元</w:t>
            </w:r>
          </w:p>
        </w:tc>
      </w:tr>
    </w:tbl>
    <w:p>
      <w:pPr>
        <w:ind w:firstLine="640" w:firstLineChars="200"/>
        <w:rPr>
          <w:rFonts w:hint="eastAsia" w:ascii="黑体" w:hAnsi="黑体" w:eastAsia="黑体"/>
          <w:bCs/>
          <w:sz w:val="32"/>
          <w:szCs w:val="32"/>
        </w:rPr>
      </w:pPr>
    </w:p>
    <w:p>
      <w:pPr>
        <w:ind w:firstLine="640" w:firstLineChars="200"/>
        <w:rPr>
          <w:rFonts w:ascii="黑体" w:hAnsi="黑体" w:eastAsia="黑体"/>
          <w:bCs/>
          <w:sz w:val="32"/>
          <w:szCs w:val="32"/>
        </w:rPr>
      </w:pPr>
      <w:r>
        <w:rPr>
          <w:rFonts w:hint="eastAsia" w:ascii="黑体" w:hAnsi="黑体" w:eastAsia="黑体"/>
          <w:bCs/>
          <w:sz w:val="32"/>
          <w:szCs w:val="32"/>
        </w:rPr>
        <w:t>三、收到和处理政府信息公开申请情况</w:t>
      </w:r>
    </w:p>
    <w:tbl>
      <w:tblPr>
        <w:tblStyle w:val="10"/>
        <w:tblW w:w="96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60"/>
        <w:gridCol w:w="2693"/>
        <w:gridCol w:w="567"/>
        <w:gridCol w:w="709"/>
        <w:gridCol w:w="708"/>
        <w:gridCol w:w="709"/>
        <w:gridCol w:w="709"/>
        <w:gridCol w:w="709"/>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820" w:type="dxa"/>
            <w:gridSpan w:val="3"/>
            <w:vMerge w:val="restart"/>
            <w:vAlign w:val="center"/>
          </w:tcPr>
          <w:p>
            <w:r>
              <w:rPr>
                <w:rFonts w:hint="eastAsia"/>
              </w:rPr>
              <w:t>（本列数据的勾稽关系为：第一项加第二项之和，等于第三项加第四项之和）</w:t>
            </w:r>
          </w:p>
        </w:tc>
        <w:tc>
          <w:tcPr>
            <w:tcW w:w="4791" w:type="dxa"/>
            <w:gridSpan w:val="7"/>
            <w:vAlign w:val="center"/>
          </w:tcPr>
          <w:p>
            <w:pPr>
              <w:jc w:val="center"/>
              <w:rPr>
                <w:szCs w:val="21"/>
              </w:rPr>
            </w:pPr>
            <w:r>
              <w:rPr>
                <w:rFonts w:hint="eastAsia"/>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820" w:type="dxa"/>
            <w:gridSpan w:val="3"/>
            <w:vMerge w:val="continue"/>
          </w:tcPr>
          <w:p/>
        </w:tc>
        <w:tc>
          <w:tcPr>
            <w:tcW w:w="567" w:type="dxa"/>
            <w:vMerge w:val="restart"/>
            <w:vAlign w:val="center"/>
          </w:tcPr>
          <w:p>
            <w:pPr>
              <w:jc w:val="center"/>
              <w:rPr>
                <w:sz w:val="18"/>
                <w:szCs w:val="18"/>
              </w:rPr>
            </w:pPr>
            <w:r>
              <w:rPr>
                <w:rFonts w:hint="eastAsia"/>
                <w:szCs w:val="21"/>
              </w:rPr>
              <w:t>自然人</w:t>
            </w:r>
          </w:p>
        </w:tc>
        <w:tc>
          <w:tcPr>
            <w:tcW w:w="3544" w:type="dxa"/>
            <w:gridSpan w:val="5"/>
            <w:vAlign w:val="center"/>
          </w:tcPr>
          <w:p>
            <w:pPr>
              <w:jc w:val="center"/>
              <w:rPr>
                <w:szCs w:val="21"/>
              </w:rPr>
            </w:pPr>
            <w:r>
              <w:rPr>
                <w:rFonts w:hint="eastAsia"/>
                <w:szCs w:val="21"/>
              </w:rPr>
              <w:t>法人或其他组织</w:t>
            </w:r>
          </w:p>
        </w:tc>
        <w:tc>
          <w:tcPr>
            <w:tcW w:w="680" w:type="dxa"/>
            <w:vMerge w:val="restart"/>
            <w:vAlign w:val="center"/>
          </w:tcPr>
          <w:p>
            <w:pPr>
              <w:rPr>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4820" w:type="dxa"/>
            <w:gridSpan w:val="3"/>
            <w:vMerge w:val="continue"/>
          </w:tcPr>
          <w:p/>
        </w:tc>
        <w:tc>
          <w:tcPr>
            <w:tcW w:w="567" w:type="dxa"/>
            <w:vMerge w:val="continue"/>
          </w:tcPr>
          <w:p>
            <w:pPr>
              <w:rPr>
                <w:sz w:val="18"/>
                <w:szCs w:val="18"/>
              </w:rPr>
            </w:pPr>
          </w:p>
        </w:tc>
        <w:tc>
          <w:tcPr>
            <w:tcW w:w="709" w:type="dxa"/>
            <w:vAlign w:val="center"/>
          </w:tcPr>
          <w:p>
            <w:pPr>
              <w:rPr>
                <w:szCs w:val="21"/>
              </w:rPr>
            </w:pPr>
            <w:r>
              <w:rPr>
                <w:rFonts w:hint="eastAsia"/>
                <w:szCs w:val="21"/>
              </w:rPr>
              <w:t>商业企业</w:t>
            </w:r>
          </w:p>
        </w:tc>
        <w:tc>
          <w:tcPr>
            <w:tcW w:w="708" w:type="dxa"/>
            <w:vAlign w:val="center"/>
          </w:tcPr>
          <w:p>
            <w:pPr>
              <w:rPr>
                <w:szCs w:val="21"/>
              </w:rPr>
            </w:pPr>
            <w:r>
              <w:rPr>
                <w:rFonts w:hint="eastAsia"/>
                <w:szCs w:val="21"/>
              </w:rPr>
              <w:t>科研机构</w:t>
            </w:r>
          </w:p>
        </w:tc>
        <w:tc>
          <w:tcPr>
            <w:tcW w:w="709" w:type="dxa"/>
            <w:vAlign w:val="center"/>
          </w:tcPr>
          <w:p>
            <w:pPr>
              <w:rPr>
                <w:szCs w:val="21"/>
              </w:rPr>
            </w:pPr>
            <w:r>
              <w:rPr>
                <w:rFonts w:hint="eastAsia"/>
                <w:szCs w:val="21"/>
              </w:rPr>
              <w:t>社会公益组织</w:t>
            </w:r>
          </w:p>
        </w:tc>
        <w:tc>
          <w:tcPr>
            <w:tcW w:w="709" w:type="dxa"/>
            <w:vAlign w:val="center"/>
          </w:tcPr>
          <w:p>
            <w:pPr>
              <w:rPr>
                <w:szCs w:val="21"/>
              </w:rPr>
            </w:pPr>
            <w:r>
              <w:rPr>
                <w:rFonts w:hint="eastAsia"/>
                <w:szCs w:val="21"/>
              </w:rPr>
              <w:t>法律服务机构</w:t>
            </w:r>
          </w:p>
        </w:tc>
        <w:tc>
          <w:tcPr>
            <w:tcW w:w="709" w:type="dxa"/>
            <w:vAlign w:val="center"/>
          </w:tcPr>
          <w:p>
            <w:pPr>
              <w:rPr>
                <w:szCs w:val="21"/>
              </w:rPr>
            </w:pPr>
            <w:r>
              <w:rPr>
                <w:rFonts w:hint="eastAsia"/>
                <w:szCs w:val="21"/>
              </w:rPr>
              <w:t>其他</w:t>
            </w:r>
          </w:p>
        </w:tc>
        <w:tc>
          <w:tcPr>
            <w:tcW w:w="680" w:type="dxa"/>
            <w:vMerge w:val="continue"/>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820" w:type="dxa"/>
            <w:gridSpan w:val="3"/>
          </w:tcPr>
          <w:p>
            <w:r>
              <w:rPr>
                <w:rFonts w:hint="eastAsia"/>
              </w:rPr>
              <w:t>一、本年新收政府信息公开申请数量</w:t>
            </w:r>
          </w:p>
        </w:tc>
        <w:tc>
          <w:tcPr>
            <w:tcW w:w="567" w:type="dxa"/>
          </w:tcPr>
          <w:p>
            <w:pPr>
              <w:jc w:val="center"/>
            </w:pPr>
            <w:r>
              <w:rPr>
                <w:rFonts w:hint="eastAsia"/>
              </w:rPr>
              <w:t>8</w:t>
            </w:r>
          </w:p>
        </w:tc>
        <w:tc>
          <w:tcPr>
            <w:tcW w:w="709" w:type="dxa"/>
            <w:vAlign w:val="center"/>
          </w:tcPr>
          <w:p>
            <w:pPr>
              <w:jc w:val="center"/>
              <w:rPr>
                <w:szCs w:val="21"/>
              </w:rPr>
            </w:pPr>
            <w:r>
              <w:rPr>
                <w:rFonts w:hint="eastAsia"/>
                <w:szCs w:val="21"/>
              </w:rPr>
              <w:t>0</w:t>
            </w:r>
          </w:p>
        </w:tc>
        <w:tc>
          <w:tcPr>
            <w:tcW w:w="708" w:type="dxa"/>
            <w:vAlign w:val="center"/>
          </w:tcPr>
          <w:p>
            <w:pPr>
              <w:jc w:val="center"/>
              <w:rPr>
                <w:szCs w:val="21"/>
              </w:rPr>
            </w:pPr>
            <w:r>
              <w:rPr>
                <w:rFonts w:hint="eastAsia"/>
                <w:szCs w:val="21"/>
              </w:rPr>
              <w:t>0</w:t>
            </w:r>
          </w:p>
        </w:tc>
        <w:tc>
          <w:tcPr>
            <w:tcW w:w="709" w:type="dxa"/>
            <w:vAlign w:val="center"/>
          </w:tcPr>
          <w:p>
            <w:pPr>
              <w:jc w:val="center"/>
              <w:rPr>
                <w:szCs w:val="21"/>
              </w:rPr>
            </w:pPr>
            <w:r>
              <w:rPr>
                <w:rFonts w:hint="eastAsia"/>
                <w:szCs w:val="21"/>
              </w:rPr>
              <w:t>0</w:t>
            </w:r>
          </w:p>
        </w:tc>
        <w:tc>
          <w:tcPr>
            <w:tcW w:w="709" w:type="dxa"/>
            <w:vAlign w:val="center"/>
          </w:tcPr>
          <w:p>
            <w:pPr>
              <w:jc w:val="center"/>
              <w:rPr>
                <w:szCs w:val="21"/>
              </w:rPr>
            </w:pPr>
            <w:r>
              <w:rPr>
                <w:rFonts w:hint="eastAsia"/>
                <w:szCs w:val="21"/>
              </w:rPr>
              <w:t>0</w:t>
            </w:r>
          </w:p>
        </w:tc>
        <w:tc>
          <w:tcPr>
            <w:tcW w:w="709" w:type="dxa"/>
            <w:vAlign w:val="center"/>
          </w:tcPr>
          <w:p>
            <w:pPr>
              <w:jc w:val="center"/>
              <w:rPr>
                <w:szCs w:val="21"/>
              </w:rPr>
            </w:pPr>
            <w:r>
              <w:rPr>
                <w:rFonts w:hint="eastAsia"/>
                <w:szCs w:val="21"/>
              </w:rPr>
              <w:t>0</w:t>
            </w:r>
          </w:p>
        </w:tc>
        <w:tc>
          <w:tcPr>
            <w:tcW w:w="680" w:type="dxa"/>
            <w:vAlign w:val="center"/>
          </w:tcPr>
          <w:p>
            <w:pPr>
              <w:jc w:val="center"/>
              <w:rPr>
                <w:szCs w:val="21"/>
              </w:rPr>
            </w:pPr>
            <w:r>
              <w:rPr>
                <w:rFonts w:hint="eastAsia"/>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4820" w:type="dxa"/>
            <w:gridSpan w:val="3"/>
          </w:tcPr>
          <w:p>
            <w:r>
              <w:rPr>
                <w:rFonts w:hint="eastAsia"/>
              </w:rPr>
              <w:t>二、上年结转政府信息公开申请数量</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67" w:type="dxa"/>
            <w:vMerge w:val="restart"/>
            <w:vAlign w:val="center"/>
          </w:tcPr>
          <w:p>
            <w:r>
              <w:rPr>
                <w:rFonts w:hint="eastAsia"/>
              </w:rPr>
              <w:t>三、本年度办理结果</w:t>
            </w:r>
          </w:p>
        </w:tc>
        <w:tc>
          <w:tcPr>
            <w:tcW w:w="4253" w:type="dxa"/>
            <w:gridSpan w:val="2"/>
          </w:tcPr>
          <w:p>
            <w:pPr>
              <w:rPr>
                <w:rFonts w:asciiTheme="minorEastAsia" w:hAnsiTheme="minorEastAsia"/>
                <w:sz w:val="18"/>
                <w:szCs w:val="18"/>
              </w:rPr>
            </w:pPr>
            <w:r>
              <w:rPr>
                <w:rFonts w:hint="eastAsia" w:asciiTheme="minorEastAsia" w:hAnsiTheme="minorEastAsia"/>
                <w:sz w:val="18"/>
                <w:szCs w:val="18"/>
              </w:rPr>
              <w:t>（一）予以公开</w:t>
            </w:r>
          </w:p>
        </w:tc>
        <w:tc>
          <w:tcPr>
            <w:tcW w:w="567" w:type="dxa"/>
          </w:tcPr>
          <w:p>
            <w:pPr>
              <w:jc w:val="center"/>
            </w:pPr>
            <w:r>
              <w:rPr>
                <w:rFonts w:hint="eastAsia"/>
              </w:rPr>
              <w:t>6</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tcPr>
          <w:p/>
        </w:tc>
        <w:tc>
          <w:tcPr>
            <w:tcW w:w="4253" w:type="dxa"/>
            <w:gridSpan w:val="2"/>
          </w:tcPr>
          <w:p>
            <w:pPr>
              <w:rPr>
                <w:rFonts w:asciiTheme="minorEastAsia" w:hAnsiTheme="minorEastAsia"/>
                <w:sz w:val="18"/>
                <w:szCs w:val="18"/>
              </w:rPr>
            </w:pPr>
            <w:r>
              <w:rPr>
                <w:rFonts w:hint="eastAsia" w:asciiTheme="minorEastAsia" w:hAnsiTheme="minorEastAsia"/>
                <w:sz w:val="18"/>
                <w:szCs w:val="18"/>
              </w:rPr>
              <w:t>（二）部分公开（区分处理的，只计这一情形，不计其他情形）</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67" w:type="dxa"/>
            <w:vMerge w:val="continue"/>
          </w:tcPr>
          <w:p/>
        </w:tc>
        <w:tc>
          <w:tcPr>
            <w:tcW w:w="1560" w:type="dxa"/>
            <w:vMerge w:val="restart"/>
            <w:vAlign w:val="center"/>
          </w:tcPr>
          <w:p>
            <w:pPr>
              <w:rPr>
                <w:rFonts w:asciiTheme="minorEastAsia" w:hAnsiTheme="minorEastAsia"/>
                <w:sz w:val="18"/>
                <w:szCs w:val="18"/>
              </w:rPr>
            </w:pPr>
            <w:r>
              <w:rPr>
                <w:rFonts w:hint="eastAsia" w:asciiTheme="minorEastAsia" w:hAnsiTheme="minorEastAsia"/>
                <w:sz w:val="18"/>
                <w:szCs w:val="18"/>
              </w:rPr>
              <w:t>（三）不予公开</w:t>
            </w:r>
          </w:p>
        </w:tc>
        <w:tc>
          <w:tcPr>
            <w:tcW w:w="2693" w:type="dxa"/>
          </w:tcPr>
          <w:p>
            <w:pPr>
              <w:rPr>
                <w:rFonts w:asciiTheme="minorEastAsia" w:hAnsiTheme="minorEastAsia"/>
                <w:sz w:val="18"/>
                <w:szCs w:val="18"/>
              </w:rPr>
            </w:pPr>
            <w:r>
              <w:rPr>
                <w:rFonts w:asciiTheme="minorEastAsia" w:hAnsiTheme="minorEastAsia"/>
                <w:sz w:val="18"/>
                <w:szCs w:val="18"/>
              </w:rPr>
              <w:t>1</w:t>
            </w:r>
            <w:r>
              <w:rPr>
                <w:rFonts w:hint="eastAsia" w:asciiTheme="minorEastAsia" w:hAnsiTheme="minorEastAsia"/>
                <w:sz w:val="18"/>
                <w:szCs w:val="18"/>
              </w:rPr>
              <w:t>．属于国家秘密</w:t>
            </w:r>
          </w:p>
        </w:tc>
        <w:tc>
          <w:tcPr>
            <w:tcW w:w="567" w:type="dxa"/>
          </w:tcPr>
          <w:p>
            <w:pPr>
              <w:jc w:val="center"/>
            </w:pPr>
            <w:r>
              <w:rPr>
                <w:rFonts w:hint="eastAsia"/>
              </w:rPr>
              <w:t>1</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67" w:type="dxa"/>
            <w:vMerge w:val="continue"/>
          </w:tcPr>
          <w:p/>
        </w:tc>
        <w:tc>
          <w:tcPr>
            <w:tcW w:w="1560" w:type="dxa"/>
            <w:vMerge w:val="continue"/>
            <w:vAlign w:val="center"/>
          </w:tcPr>
          <w:p>
            <w:pPr>
              <w:rPr>
                <w:rFonts w:asciiTheme="minorEastAsia" w:hAnsiTheme="minor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2．其他法律行政法规禁止公开</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67" w:type="dxa"/>
            <w:vMerge w:val="continue"/>
          </w:tcPr>
          <w:p/>
        </w:tc>
        <w:tc>
          <w:tcPr>
            <w:tcW w:w="1560" w:type="dxa"/>
            <w:vMerge w:val="continue"/>
            <w:vAlign w:val="center"/>
          </w:tcPr>
          <w:p>
            <w:pPr>
              <w:rPr>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3．危及“三安全一稳定”</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7" w:type="dxa"/>
            <w:vMerge w:val="continue"/>
          </w:tcPr>
          <w:p/>
        </w:tc>
        <w:tc>
          <w:tcPr>
            <w:tcW w:w="1560" w:type="dxa"/>
            <w:vMerge w:val="continue"/>
            <w:vAlign w:val="center"/>
          </w:tcPr>
          <w:p>
            <w:pPr>
              <w:rPr>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4．保护第三方合法权益</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67" w:type="dxa"/>
            <w:vMerge w:val="continue"/>
          </w:tcPr>
          <w:p/>
        </w:tc>
        <w:tc>
          <w:tcPr>
            <w:tcW w:w="1560" w:type="dxa"/>
            <w:vMerge w:val="continue"/>
            <w:vAlign w:val="center"/>
          </w:tcPr>
          <w:p>
            <w:pPr>
              <w:rPr>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5．属于三类内部事务信息</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67" w:type="dxa"/>
            <w:vMerge w:val="continue"/>
          </w:tcPr>
          <w:p/>
        </w:tc>
        <w:tc>
          <w:tcPr>
            <w:tcW w:w="1560" w:type="dxa"/>
            <w:vMerge w:val="continue"/>
            <w:vAlign w:val="center"/>
          </w:tcPr>
          <w:p>
            <w:pPr>
              <w:rPr>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6．属于四类过程性信息</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67" w:type="dxa"/>
            <w:vMerge w:val="continue"/>
          </w:tcPr>
          <w:p/>
        </w:tc>
        <w:tc>
          <w:tcPr>
            <w:tcW w:w="1560" w:type="dxa"/>
            <w:vMerge w:val="continue"/>
            <w:vAlign w:val="center"/>
          </w:tcPr>
          <w:p>
            <w:pPr>
              <w:rPr>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7．属于行政执法案卷</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67" w:type="dxa"/>
            <w:vMerge w:val="continue"/>
          </w:tcPr>
          <w:p/>
        </w:tc>
        <w:tc>
          <w:tcPr>
            <w:tcW w:w="1560" w:type="dxa"/>
            <w:vMerge w:val="continue"/>
            <w:vAlign w:val="center"/>
          </w:tcPr>
          <w:p>
            <w:pPr>
              <w:rPr>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8．属于行政查询事项</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67" w:type="dxa"/>
            <w:vMerge w:val="continue"/>
          </w:tcPr>
          <w:p/>
        </w:tc>
        <w:tc>
          <w:tcPr>
            <w:tcW w:w="1560" w:type="dxa"/>
            <w:vMerge w:val="restart"/>
            <w:vAlign w:val="center"/>
          </w:tcPr>
          <w:p>
            <w:pPr>
              <w:rPr>
                <w:sz w:val="18"/>
                <w:szCs w:val="18"/>
              </w:rPr>
            </w:pPr>
            <w:r>
              <w:rPr>
                <w:rFonts w:hint="eastAsia"/>
                <w:sz w:val="18"/>
                <w:szCs w:val="18"/>
              </w:rPr>
              <w:t>（四）无法提供</w:t>
            </w:r>
          </w:p>
        </w:tc>
        <w:tc>
          <w:tcPr>
            <w:tcW w:w="2693" w:type="dxa"/>
          </w:tcPr>
          <w:p>
            <w:pPr>
              <w:rPr>
                <w:rFonts w:asciiTheme="minorEastAsia" w:hAnsiTheme="minorEastAsia"/>
                <w:sz w:val="18"/>
                <w:szCs w:val="18"/>
              </w:rPr>
            </w:pPr>
            <w:r>
              <w:rPr>
                <w:rFonts w:hint="eastAsia" w:asciiTheme="minorEastAsia" w:hAnsiTheme="minorEastAsia"/>
                <w:sz w:val="18"/>
                <w:szCs w:val="18"/>
              </w:rPr>
              <w:t>1．本机关不掌握相关政府信息</w:t>
            </w:r>
          </w:p>
        </w:tc>
        <w:tc>
          <w:tcPr>
            <w:tcW w:w="567" w:type="dxa"/>
          </w:tcPr>
          <w:p>
            <w:pPr>
              <w:jc w:val="center"/>
            </w:pPr>
            <w:r>
              <w:rPr>
                <w:rFonts w:hint="eastAsia"/>
              </w:rPr>
              <w:t>1</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67" w:type="dxa"/>
            <w:vMerge w:val="continue"/>
          </w:tcPr>
          <w:p/>
        </w:tc>
        <w:tc>
          <w:tcPr>
            <w:tcW w:w="1560" w:type="dxa"/>
            <w:vMerge w:val="continue"/>
            <w:vAlign w:val="center"/>
          </w:tcPr>
          <w:p>
            <w:pPr>
              <w:rPr>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2．没有现成信息需要另行制作</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tcPr>
          <w:p/>
        </w:tc>
        <w:tc>
          <w:tcPr>
            <w:tcW w:w="1560" w:type="dxa"/>
            <w:vMerge w:val="continue"/>
            <w:vAlign w:val="center"/>
          </w:tcPr>
          <w:p>
            <w:pPr>
              <w:rPr>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3．补正后申请内容仍不明确</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67" w:type="dxa"/>
            <w:vMerge w:val="continue"/>
          </w:tcPr>
          <w:p/>
        </w:tc>
        <w:tc>
          <w:tcPr>
            <w:tcW w:w="1560" w:type="dxa"/>
            <w:vMerge w:val="restart"/>
            <w:vAlign w:val="center"/>
          </w:tcPr>
          <w:p>
            <w:pPr>
              <w:rPr>
                <w:sz w:val="18"/>
                <w:szCs w:val="18"/>
              </w:rPr>
            </w:pPr>
            <w:r>
              <w:rPr>
                <w:rFonts w:hint="eastAsia"/>
                <w:sz w:val="18"/>
                <w:szCs w:val="18"/>
              </w:rPr>
              <w:t>（五）</w:t>
            </w:r>
            <w:r>
              <w:rPr>
                <w:rFonts w:hint="eastAsia" w:asciiTheme="minorEastAsia" w:hAnsiTheme="minorEastAsia"/>
                <w:sz w:val="18"/>
                <w:szCs w:val="18"/>
              </w:rPr>
              <w:t>不予处理</w:t>
            </w:r>
          </w:p>
        </w:tc>
        <w:tc>
          <w:tcPr>
            <w:tcW w:w="2693" w:type="dxa"/>
          </w:tcPr>
          <w:p>
            <w:pPr>
              <w:rPr>
                <w:rFonts w:asciiTheme="minorEastAsia" w:hAnsiTheme="minorEastAsia"/>
                <w:sz w:val="18"/>
                <w:szCs w:val="18"/>
              </w:rPr>
            </w:pPr>
            <w:r>
              <w:rPr>
                <w:rFonts w:hint="eastAsia" w:asciiTheme="minorEastAsia" w:hAnsiTheme="minorEastAsia"/>
                <w:sz w:val="18"/>
                <w:szCs w:val="18"/>
              </w:rPr>
              <w:t>1．信访举报投诉类申请</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tcPr>
          <w:p/>
        </w:tc>
        <w:tc>
          <w:tcPr>
            <w:tcW w:w="1560" w:type="dxa"/>
            <w:vMerge w:val="continue"/>
          </w:tcPr>
          <w:p/>
        </w:tc>
        <w:tc>
          <w:tcPr>
            <w:tcW w:w="2693" w:type="dxa"/>
          </w:tcPr>
          <w:p>
            <w:pPr>
              <w:rPr>
                <w:rFonts w:asciiTheme="minorEastAsia" w:hAnsiTheme="minorEastAsia"/>
                <w:sz w:val="18"/>
                <w:szCs w:val="18"/>
              </w:rPr>
            </w:pPr>
            <w:r>
              <w:rPr>
                <w:rFonts w:hint="eastAsia" w:asciiTheme="minorEastAsia" w:hAnsiTheme="minorEastAsia"/>
                <w:sz w:val="18"/>
                <w:szCs w:val="18"/>
              </w:rPr>
              <w:t>2．重复申请</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67" w:type="dxa"/>
            <w:vMerge w:val="continue"/>
          </w:tcPr>
          <w:p/>
        </w:tc>
        <w:tc>
          <w:tcPr>
            <w:tcW w:w="1560" w:type="dxa"/>
            <w:vMerge w:val="continue"/>
          </w:tcPr>
          <w:p/>
        </w:tc>
        <w:tc>
          <w:tcPr>
            <w:tcW w:w="2693" w:type="dxa"/>
          </w:tcPr>
          <w:p>
            <w:pPr>
              <w:rPr>
                <w:rFonts w:asciiTheme="minorEastAsia" w:hAnsiTheme="minorEastAsia"/>
                <w:sz w:val="18"/>
                <w:szCs w:val="18"/>
              </w:rPr>
            </w:pPr>
            <w:r>
              <w:rPr>
                <w:rFonts w:asciiTheme="minorEastAsia" w:hAnsiTheme="minorEastAsia"/>
                <w:sz w:val="18"/>
                <w:szCs w:val="18"/>
              </w:rPr>
              <w:t>3</w:t>
            </w:r>
            <w:r>
              <w:rPr>
                <w:rFonts w:hint="eastAsia" w:asciiTheme="minorEastAsia" w:hAnsiTheme="minorEastAsia"/>
                <w:sz w:val="18"/>
                <w:szCs w:val="18"/>
              </w:rPr>
              <w:t>．要求提供公开出版物</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67" w:type="dxa"/>
            <w:vMerge w:val="continue"/>
          </w:tcPr>
          <w:p/>
        </w:tc>
        <w:tc>
          <w:tcPr>
            <w:tcW w:w="1560" w:type="dxa"/>
            <w:vMerge w:val="continue"/>
          </w:tcPr>
          <w:p/>
        </w:tc>
        <w:tc>
          <w:tcPr>
            <w:tcW w:w="2693" w:type="dxa"/>
          </w:tcPr>
          <w:p>
            <w:pPr>
              <w:rPr>
                <w:rFonts w:asciiTheme="minorEastAsia" w:hAnsiTheme="minorEastAsia"/>
                <w:sz w:val="18"/>
                <w:szCs w:val="18"/>
              </w:rPr>
            </w:pPr>
            <w:r>
              <w:rPr>
                <w:rFonts w:hint="eastAsia" w:asciiTheme="minorEastAsia" w:hAnsiTheme="minorEastAsia"/>
                <w:sz w:val="18"/>
                <w:szCs w:val="18"/>
              </w:rPr>
              <w:t>4．无正当理由大量反复申请</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Merge w:val="continue"/>
          </w:tcPr>
          <w:p/>
        </w:tc>
        <w:tc>
          <w:tcPr>
            <w:tcW w:w="1560" w:type="dxa"/>
            <w:vMerge w:val="continue"/>
          </w:tcPr>
          <w:p/>
        </w:tc>
        <w:tc>
          <w:tcPr>
            <w:tcW w:w="2693" w:type="dxa"/>
          </w:tcPr>
          <w:p>
            <w:pPr>
              <w:ind w:left="180" w:hanging="180" w:hangingChars="100"/>
              <w:rPr>
                <w:rFonts w:asciiTheme="minorEastAsia" w:hAnsiTheme="minorEastAsia"/>
                <w:sz w:val="18"/>
                <w:szCs w:val="18"/>
              </w:rPr>
            </w:pPr>
            <w:r>
              <w:rPr>
                <w:rFonts w:hint="eastAsia" w:asciiTheme="minorEastAsia" w:hAnsiTheme="minorEastAsia"/>
                <w:sz w:val="18"/>
                <w:szCs w:val="18"/>
              </w:rPr>
              <w:t>5．要求行政机关确认或重新出具已获取信息</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67" w:type="dxa"/>
          </w:tcPr>
          <w:p/>
        </w:tc>
        <w:tc>
          <w:tcPr>
            <w:tcW w:w="4253" w:type="dxa"/>
            <w:gridSpan w:val="2"/>
            <w:vAlign w:val="center"/>
          </w:tcPr>
          <w:p>
            <w:pPr>
              <w:rPr>
                <w:sz w:val="18"/>
                <w:szCs w:val="18"/>
              </w:rPr>
            </w:pPr>
            <w:r>
              <w:rPr>
                <w:rFonts w:hint="eastAsia"/>
                <w:sz w:val="18"/>
                <w:szCs w:val="18"/>
              </w:rPr>
              <w:t>（六）其他处理</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67" w:type="dxa"/>
          </w:tcPr>
          <w:p/>
        </w:tc>
        <w:tc>
          <w:tcPr>
            <w:tcW w:w="4253" w:type="dxa"/>
            <w:gridSpan w:val="2"/>
            <w:vAlign w:val="center"/>
          </w:tcPr>
          <w:p>
            <w:pPr>
              <w:rPr>
                <w:sz w:val="18"/>
                <w:szCs w:val="18"/>
              </w:rPr>
            </w:pPr>
            <w:r>
              <w:rPr>
                <w:rFonts w:hint="eastAsia"/>
                <w:sz w:val="18"/>
                <w:szCs w:val="18"/>
              </w:rPr>
              <w:t>（七）总计</w:t>
            </w:r>
          </w:p>
        </w:tc>
        <w:tc>
          <w:tcPr>
            <w:tcW w:w="567" w:type="dxa"/>
          </w:tcPr>
          <w:p>
            <w:pPr>
              <w:jc w:val="center"/>
            </w:pPr>
            <w:r>
              <w:rPr>
                <w:rFonts w:hint="eastAsia"/>
              </w:rPr>
              <w:t>8</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gridSpan w:val="3"/>
            <w:vAlign w:val="center"/>
          </w:tcPr>
          <w:p>
            <w:r>
              <w:rPr>
                <w:rFonts w:hint="eastAsia"/>
              </w:rPr>
              <w:t>四、结转下年度继续办理</w:t>
            </w:r>
          </w:p>
        </w:tc>
        <w:tc>
          <w:tcPr>
            <w:tcW w:w="567" w:type="dxa"/>
          </w:tcPr>
          <w:p>
            <w:pPr>
              <w:jc w:val="center"/>
            </w:pPr>
            <w:r>
              <w:rPr>
                <w:rFonts w:hint="eastAsia"/>
              </w:rPr>
              <w:t>0</w:t>
            </w:r>
          </w:p>
        </w:tc>
        <w:tc>
          <w:tcPr>
            <w:tcW w:w="709" w:type="dxa"/>
          </w:tcPr>
          <w:p>
            <w:pPr>
              <w:jc w:val="center"/>
            </w:pPr>
            <w:r>
              <w:rPr>
                <w:rFonts w:hint="eastAsia"/>
              </w:rPr>
              <w:t>0</w:t>
            </w:r>
          </w:p>
        </w:tc>
        <w:tc>
          <w:tcPr>
            <w:tcW w:w="708"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709" w:type="dxa"/>
          </w:tcPr>
          <w:p>
            <w:pPr>
              <w:jc w:val="center"/>
            </w:pPr>
            <w:r>
              <w:rPr>
                <w:rFonts w:hint="eastAsia"/>
              </w:rPr>
              <w:t>0</w:t>
            </w:r>
          </w:p>
        </w:tc>
        <w:tc>
          <w:tcPr>
            <w:tcW w:w="680" w:type="dxa"/>
          </w:tcPr>
          <w:p>
            <w:pPr>
              <w:jc w:val="center"/>
            </w:pPr>
            <w:r>
              <w:rPr>
                <w:rFonts w:hint="eastAsia"/>
              </w:rPr>
              <w:t>0</w:t>
            </w:r>
          </w:p>
        </w:tc>
      </w:tr>
    </w:tbl>
    <w:p>
      <w:pPr>
        <w:ind w:firstLine="640" w:firstLineChars="200"/>
        <w:rPr>
          <w:rFonts w:ascii="黑体" w:hAnsi="黑体" w:eastAsia="黑体"/>
          <w:bCs/>
          <w:sz w:val="32"/>
          <w:szCs w:val="32"/>
        </w:rPr>
      </w:pPr>
      <w:r>
        <w:rPr>
          <w:rFonts w:hint="eastAsia" w:ascii="黑体" w:hAnsi="黑体" w:eastAsia="黑体"/>
          <w:bCs/>
          <w:sz w:val="32"/>
          <w:szCs w:val="32"/>
        </w:rPr>
        <w:t>四、政府信息公开行政复议、行政诉讼情况</w:t>
      </w:r>
    </w:p>
    <w:tbl>
      <w:tblPr>
        <w:tblStyle w:val="10"/>
        <w:tblW w:w="1020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8"/>
        <w:gridCol w:w="709"/>
        <w:gridCol w:w="682"/>
        <w:gridCol w:w="594"/>
        <w:gridCol w:w="709"/>
        <w:gridCol w:w="709"/>
        <w:gridCol w:w="709"/>
        <w:gridCol w:w="708"/>
        <w:gridCol w:w="567"/>
        <w:gridCol w:w="851"/>
        <w:gridCol w:w="650"/>
        <w:gridCol w:w="767"/>
        <w:gridCol w:w="709"/>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402" w:type="dxa"/>
            <w:gridSpan w:val="5"/>
            <w:vAlign w:val="center"/>
          </w:tcPr>
          <w:p>
            <w:pPr>
              <w:jc w:val="center"/>
              <w:rPr>
                <w:szCs w:val="21"/>
              </w:rPr>
            </w:pPr>
            <w:r>
              <w:rPr>
                <w:rFonts w:hint="eastAsia"/>
                <w:szCs w:val="21"/>
              </w:rPr>
              <w:t>行政复议</w:t>
            </w:r>
          </w:p>
        </w:tc>
        <w:tc>
          <w:tcPr>
            <w:tcW w:w="6804" w:type="dxa"/>
            <w:gridSpan w:val="10"/>
            <w:vAlign w:val="center"/>
          </w:tcPr>
          <w:p>
            <w:pPr>
              <w:jc w:val="center"/>
              <w:rPr>
                <w:szCs w:val="21"/>
              </w:rPr>
            </w:pPr>
            <w:r>
              <w:rPr>
                <w:rFonts w:hint="eastAsia"/>
                <w:szCs w:val="21"/>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09" w:type="dxa"/>
            <w:vMerge w:val="restart"/>
            <w:vAlign w:val="center"/>
          </w:tcPr>
          <w:p>
            <w:pPr>
              <w:jc w:val="center"/>
              <w:rPr>
                <w:szCs w:val="21"/>
              </w:rPr>
            </w:pPr>
            <w:r>
              <w:rPr>
                <w:rFonts w:hint="eastAsia"/>
                <w:szCs w:val="21"/>
              </w:rPr>
              <w:t>结果维持</w:t>
            </w:r>
          </w:p>
        </w:tc>
        <w:tc>
          <w:tcPr>
            <w:tcW w:w="708" w:type="dxa"/>
            <w:vMerge w:val="restart"/>
            <w:vAlign w:val="center"/>
          </w:tcPr>
          <w:p>
            <w:pPr>
              <w:jc w:val="center"/>
              <w:rPr>
                <w:szCs w:val="21"/>
              </w:rPr>
            </w:pPr>
            <w:r>
              <w:rPr>
                <w:rFonts w:hint="eastAsia"/>
                <w:szCs w:val="21"/>
              </w:rPr>
              <w:t>结果纠正</w:t>
            </w:r>
          </w:p>
        </w:tc>
        <w:tc>
          <w:tcPr>
            <w:tcW w:w="709" w:type="dxa"/>
            <w:vMerge w:val="restart"/>
            <w:vAlign w:val="center"/>
          </w:tcPr>
          <w:p>
            <w:pPr>
              <w:jc w:val="center"/>
              <w:rPr>
                <w:szCs w:val="21"/>
              </w:rPr>
            </w:pPr>
            <w:r>
              <w:rPr>
                <w:rFonts w:hint="eastAsia"/>
                <w:szCs w:val="21"/>
              </w:rPr>
              <w:t>其他结果</w:t>
            </w:r>
          </w:p>
        </w:tc>
        <w:tc>
          <w:tcPr>
            <w:tcW w:w="682" w:type="dxa"/>
            <w:vMerge w:val="restart"/>
            <w:vAlign w:val="center"/>
          </w:tcPr>
          <w:p>
            <w:pPr>
              <w:jc w:val="center"/>
              <w:rPr>
                <w:szCs w:val="21"/>
              </w:rPr>
            </w:pPr>
            <w:r>
              <w:rPr>
                <w:rFonts w:hint="eastAsia"/>
                <w:szCs w:val="21"/>
              </w:rPr>
              <w:t>尚未审结</w:t>
            </w:r>
          </w:p>
        </w:tc>
        <w:tc>
          <w:tcPr>
            <w:tcW w:w="594" w:type="dxa"/>
            <w:vMerge w:val="restart"/>
            <w:vAlign w:val="center"/>
          </w:tcPr>
          <w:p>
            <w:pPr>
              <w:jc w:val="center"/>
              <w:rPr>
                <w:szCs w:val="21"/>
              </w:rPr>
            </w:pPr>
            <w:r>
              <w:rPr>
                <w:rFonts w:hint="eastAsia"/>
                <w:szCs w:val="21"/>
              </w:rPr>
              <w:t>总计</w:t>
            </w:r>
          </w:p>
        </w:tc>
        <w:tc>
          <w:tcPr>
            <w:tcW w:w="3402" w:type="dxa"/>
            <w:gridSpan w:val="5"/>
            <w:vAlign w:val="center"/>
          </w:tcPr>
          <w:p>
            <w:pPr>
              <w:jc w:val="center"/>
              <w:rPr>
                <w:szCs w:val="21"/>
              </w:rPr>
            </w:pPr>
            <w:r>
              <w:rPr>
                <w:rFonts w:hint="eastAsia"/>
                <w:szCs w:val="21"/>
              </w:rPr>
              <w:t>未经复议直接起诉</w:t>
            </w:r>
          </w:p>
        </w:tc>
        <w:tc>
          <w:tcPr>
            <w:tcW w:w="3402" w:type="dxa"/>
            <w:gridSpan w:val="5"/>
            <w:vAlign w:val="center"/>
          </w:tcPr>
          <w:p>
            <w:pPr>
              <w:jc w:val="center"/>
              <w:rPr>
                <w:szCs w:val="21"/>
              </w:rPr>
            </w:pPr>
            <w:r>
              <w:rPr>
                <w:rFonts w:hint="eastAsia"/>
                <w:szCs w:val="21"/>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sz w:val="18"/>
                <w:szCs w:val="18"/>
              </w:rPr>
            </w:pPr>
          </w:p>
        </w:tc>
        <w:tc>
          <w:tcPr>
            <w:tcW w:w="708" w:type="dxa"/>
            <w:vMerge w:val="continue"/>
            <w:vAlign w:val="center"/>
          </w:tcPr>
          <w:p>
            <w:pPr>
              <w:jc w:val="center"/>
              <w:rPr>
                <w:sz w:val="18"/>
                <w:szCs w:val="18"/>
              </w:rPr>
            </w:pPr>
          </w:p>
        </w:tc>
        <w:tc>
          <w:tcPr>
            <w:tcW w:w="709" w:type="dxa"/>
            <w:vMerge w:val="continue"/>
            <w:vAlign w:val="center"/>
          </w:tcPr>
          <w:p>
            <w:pPr>
              <w:jc w:val="center"/>
              <w:rPr>
                <w:sz w:val="18"/>
                <w:szCs w:val="18"/>
              </w:rPr>
            </w:pPr>
          </w:p>
        </w:tc>
        <w:tc>
          <w:tcPr>
            <w:tcW w:w="682" w:type="dxa"/>
            <w:vMerge w:val="continue"/>
            <w:vAlign w:val="center"/>
          </w:tcPr>
          <w:p>
            <w:pPr>
              <w:jc w:val="center"/>
              <w:rPr>
                <w:szCs w:val="21"/>
              </w:rPr>
            </w:pPr>
          </w:p>
        </w:tc>
        <w:tc>
          <w:tcPr>
            <w:tcW w:w="594" w:type="dxa"/>
            <w:vMerge w:val="continue"/>
            <w:vAlign w:val="center"/>
          </w:tcPr>
          <w:p>
            <w:pPr>
              <w:jc w:val="center"/>
              <w:rPr>
                <w:szCs w:val="21"/>
              </w:rPr>
            </w:pPr>
          </w:p>
        </w:tc>
        <w:tc>
          <w:tcPr>
            <w:tcW w:w="709" w:type="dxa"/>
            <w:vAlign w:val="center"/>
          </w:tcPr>
          <w:p>
            <w:pPr>
              <w:jc w:val="center"/>
              <w:rPr>
                <w:szCs w:val="21"/>
              </w:rPr>
            </w:pPr>
            <w:r>
              <w:rPr>
                <w:rFonts w:hint="eastAsia"/>
                <w:szCs w:val="21"/>
              </w:rPr>
              <w:t>结果维持</w:t>
            </w:r>
          </w:p>
        </w:tc>
        <w:tc>
          <w:tcPr>
            <w:tcW w:w="709" w:type="dxa"/>
            <w:vAlign w:val="center"/>
          </w:tcPr>
          <w:p>
            <w:pPr>
              <w:jc w:val="center"/>
              <w:rPr>
                <w:szCs w:val="21"/>
              </w:rPr>
            </w:pPr>
            <w:r>
              <w:rPr>
                <w:rFonts w:hint="eastAsia"/>
                <w:szCs w:val="21"/>
              </w:rPr>
              <w:t>结果纠正</w:t>
            </w:r>
          </w:p>
        </w:tc>
        <w:tc>
          <w:tcPr>
            <w:tcW w:w="709" w:type="dxa"/>
            <w:vAlign w:val="center"/>
          </w:tcPr>
          <w:p>
            <w:pPr>
              <w:jc w:val="center"/>
              <w:rPr>
                <w:szCs w:val="21"/>
              </w:rPr>
            </w:pPr>
            <w:r>
              <w:rPr>
                <w:rFonts w:hint="eastAsia"/>
                <w:szCs w:val="21"/>
              </w:rPr>
              <w:t>其他结果</w:t>
            </w:r>
          </w:p>
        </w:tc>
        <w:tc>
          <w:tcPr>
            <w:tcW w:w="708" w:type="dxa"/>
            <w:vAlign w:val="center"/>
          </w:tcPr>
          <w:p>
            <w:pPr>
              <w:jc w:val="center"/>
              <w:rPr>
                <w:szCs w:val="21"/>
              </w:rPr>
            </w:pPr>
            <w:r>
              <w:rPr>
                <w:rFonts w:hint="eastAsia"/>
                <w:szCs w:val="21"/>
              </w:rPr>
              <w:t>尚未审结</w:t>
            </w:r>
          </w:p>
        </w:tc>
        <w:tc>
          <w:tcPr>
            <w:tcW w:w="567" w:type="dxa"/>
            <w:vAlign w:val="center"/>
          </w:tcPr>
          <w:p>
            <w:pPr>
              <w:jc w:val="center"/>
              <w:rPr>
                <w:szCs w:val="21"/>
              </w:rPr>
            </w:pPr>
            <w:r>
              <w:rPr>
                <w:rFonts w:hint="eastAsia"/>
                <w:szCs w:val="21"/>
              </w:rPr>
              <w:t>总计</w:t>
            </w:r>
          </w:p>
        </w:tc>
        <w:tc>
          <w:tcPr>
            <w:tcW w:w="851" w:type="dxa"/>
            <w:vAlign w:val="center"/>
          </w:tcPr>
          <w:p>
            <w:pPr>
              <w:jc w:val="center"/>
              <w:rPr>
                <w:szCs w:val="21"/>
              </w:rPr>
            </w:pPr>
            <w:r>
              <w:rPr>
                <w:rFonts w:hint="eastAsia"/>
                <w:szCs w:val="21"/>
              </w:rPr>
              <w:t>结果维持</w:t>
            </w:r>
          </w:p>
        </w:tc>
        <w:tc>
          <w:tcPr>
            <w:tcW w:w="650" w:type="dxa"/>
            <w:vAlign w:val="center"/>
          </w:tcPr>
          <w:p>
            <w:pPr>
              <w:jc w:val="center"/>
              <w:rPr>
                <w:szCs w:val="21"/>
              </w:rPr>
            </w:pPr>
            <w:r>
              <w:rPr>
                <w:rFonts w:hint="eastAsia"/>
                <w:szCs w:val="21"/>
              </w:rPr>
              <w:t>结果纠正</w:t>
            </w:r>
          </w:p>
        </w:tc>
        <w:tc>
          <w:tcPr>
            <w:tcW w:w="767" w:type="dxa"/>
            <w:vAlign w:val="center"/>
          </w:tcPr>
          <w:p>
            <w:pPr>
              <w:jc w:val="center"/>
              <w:rPr>
                <w:szCs w:val="21"/>
              </w:rPr>
            </w:pPr>
            <w:r>
              <w:rPr>
                <w:rFonts w:hint="eastAsia"/>
                <w:szCs w:val="21"/>
              </w:rPr>
              <w:t>其他结果</w:t>
            </w:r>
          </w:p>
        </w:tc>
        <w:tc>
          <w:tcPr>
            <w:tcW w:w="709" w:type="dxa"/>
            <w:vAlign w:val="center"/>
          </w:tcPr>
          <w:p>
            <w:pPr>
              <w:jc w:val="center"/>
              <w:rPr>
                <w:szCs w:val="21"/>
              </w:rPr>
            </w:pPr>
            <w:r>
              <w:rPr>
                <w:rFonts w:hint="eastAsia"/>
                <w:szCs w:val="21"/>
              </w:rPr>
              <w:t>尚未审结</w:t>
            </w:r>
          </w:p>
        </w:tc>
        <w:tc>
          <w:tcPr>
            <w:tcW w:w="425" w:type="dxa"/>
            <w:vAlign w:val="center"/>
          </w:tcPr>
          <w:p>
            <w:pPr>
              <w:jc w:val="center"/>
              <w:rPr>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09" w:type="dxa"/>
            <w:vAlign w:val="center"/>
          </w:tcPr>
          <w:p>
            <w:pPr>
              <w:jc w:val="center"/>
              <w:rPr>
                <w:sz w:val="18"/>
                <w:szCs w:val="18"/>
              </w:rPr>
            </w:pPr>
            <w:r>
              <w:rPr>
                <w:rFonts w:hint="eastAsia"/>
                <w:sz w:val="18"/>
                <w:szCs w:val="18"/>
              </w:rPr>
              <w:t>1</w:t>
            </w:r>
          </w:p>
        </w:tc>
        <w:tc>
          <w:tcPr>
            <w:tcW w:w="708" w:type="dxa"/>
            <w:vAlign w:val="center"/>
          </w:tcPr>
          <w:p>
            <w:pPr>
              <w:jc w:val="center"/>
              <w:rPr>
                <w:sz w:val="18"/>
                <w:szCs w:val="18"/>
              </w:rPr>
            </w:pPr>
            <w:r>
              <w:rPr>
                <w:rFonts w:hint="eastAsia"/>
                <w:sz w:val="18"/>
                <w:szCs w:val="18"/>
              </w:rPr>
              <w:t>0</w:t>
            </w:r>
          </w:p>
        </w:tc>
        <w:tc>
          <w:tcPr>
            <w:tcW w:w="709" w:type="dxa"/>
            <w:vAlign w:val="center"/>
          </w:tcPr>
          <w:p>
            <w:pPr>
              <w:jc w:val="center"/>
              <w:rPr>
                <w:sz w:val="18"/>
                <w:szCs w:val="18"/>
              </w:rPr>
            </w:pPr>
            <w:r>
              <w:rPr>
                <w:rFonts w:hint="eastAsia"/>
                <w:sz w:val="18"/>
                <w:szCs w:val="18"/>
              </w:rPr>
              <w:t>1</w:t>
            </w:r>
          </w:p>
        </w:tc>
        <w:tc>
          <w:tcPr>
            <w:tcW w:w="682" w:type="dxa"/>
            <w:vAlign w:val="center"/>
          </w:tcPr>
          <w:p>
            <w:pPr>
              <w:jc w:val="center"/>
              <w:rPr>
                <w:szCs w:val="21"/>
              </w:rPr>
            </w:pPr>
            <w:r>
              <w:rPr>
                <w:rFonts w:hint="eastAsia"/>
                <w:szCs w:val="21"/>
              </w:rPr>
              <w:t>0</w:t>
            </w:r>
          </w:p>
        </w:tc>
        <w:tc>
          <w:tcPr>
            <w:tcW w:w="594" w:type="dxa"/>
            <w:vAlign w:val="center"/>
          </w:tcPr>
          <w:p>
            <w:pPr>
              <w:jc w:val="center"/>
              <w:rPr>
                <w:szCs w:val="21"/>
              </w:rPr>
            </w:pPr>
            <w:r>
              <w:rPr>
                <w:rFonts w:hint="eastAsia"/>
                <w:szCs w:val="21"/>
              </w:rPr>
              <w:t>2</w:t>
            </w:r>
          </w:p>
        </w:tc>
        <w:tc>
          <w:tcPr>
            <w:tcW w:w="709" w:type="dxa"/>
            <w:vAlign w:val="center"/>
          </w:tcPr>
          <w:p>
            <w:pPr>
              <w:jc w:val="center"/>
              <w:rPr>
                <w:szCs w:val="21"/>
              </w:rPr>
            </w:pPr>
            <w:r>
              <w:rPr>
                <w:rFonts w:hint="eastAsia"/>
                <w:szCs w:val="21"/>
              </w:rPr>
              <w:t>2</w:t>
            </w:r>
          </w:p>
        </w:tc>
        <w:tc>
          <w:tcPr>
            <w:tcW w:w="709" w:type="dxa"/>
            <w:vAlign w:val="center"/>
          </w:tcPr>
          <w:p>
            <w:pPr>
              <w:jc w:val="center"/>
              <w:rPr>
                <w:szCs w:val="21"/>
              </w:rPr>
            </w:pPr>
            <w:r>
              <w:rPr>
                <w:rFonts w:hint="eastAsia"/>
                <w:szCs w:val="21"/>
              </w:rPr>
              <w:t>0</w:t>
            </w:r>
          </w:p>
        </w:tc>
        <w:tc>
          <w:tcPr>
            <w:tcW w:w="709" w:type="dxa"/>
            <w:vAlign w:val="center"/>
          </w:tcPr>
          <w:p>
            <w:pPr>
              <w:jc w:val="center"/>
              <w:rPr>
                <w:szCs w:val="21"/>
              </w:rPr>
            </w:pPr>
            <w:r>
              <w:rPr>
                <w:rFonts w:hint="eastAsia"/>
                <w:szCs w:val="21"/>
              </w:rPr>
              <w:t>0</w:t>
            </w:r>
          </w:p>
        </w:tc>
        <w:tc>
          <w:tcPr>
            <w:tcW w:w="708" w:type="dxa"/>
            <w:vAlign w:val="center"/>
          </w:tcPr>
          <w:p>
            <w:pPr>
              <w:jc w:val="center"/>
              <w:rPr>
                <w:szCs w:val="21"/>
              </w:rPr>
            </w:pPr>
            <w:r>
              <w:rPr>
                <w:rFonts w:hint="eastAsia"/>
                <w:szCs w:val="21"/>
              </w:rPr>
              <w:t>0</w:t>
            </w:r>
          </w:p>
        </w:tc>
        <w:tc>
          <w:tcPr>
            <w:tcW w:w="567" w:type="dxa"/>
            <w:vAlign w:val="center"/>
          </w:tcPr>
          <w:p>
            <w:pPr>
              <w:jc w:val="center"/>
              <w:rPr>
                <w:szCs w:val="21"/>
              </w:rPr>
            </w:pPr>
            <w:r>
              <w:rPr>
                <w:rFonts w:hint="eastAsia"/>
                <w:szCs w:val="21"/>
              </w:rPr>
              <w:t>2</w:t>
            </w:r>
          </w:p>
        </w:tc>
        <w:tc>
          <w:tcPr>
            <w:tcW w:w="851" w:type="dxa"/>
            <w:vAlign w:val="center"/>
          </w:tcPr>
          <w:p>
            <w:pPr>
              <w:jc w:val="center"/>
              <w:rPr>
                <w:szCs w:val="21"/>
              </w:rPr>
            </w:pPr>
            <w:r>
              <w:rPr>
                <w:rFonts w:hint="eastAsia"/>
                <w:szCs w:val="21"/>
              </w:rPr>
              <w:t>0</w:t>
            </w:r>
          </w:p>
        </w:tc>
        <w:tc>
          <w:tcPr>
            <w:tcW w:w="650" w:type="dxa"/>
            <w:vAlign w:val="center"/>
          </w:tcPr>
          <w:p>
            <w:pPr>
              <w:jc w:val="center"/>
              <w:rPr>
                <w:szCs w:val="21"/>
              </w:rPr>
            </w:pPr>
            <w:r>
              <w:rPr>
                <w:rFonts w:hint="eastAsia"/>
                <w:szCs w:val="21"/>
              </w:rPr>
              <w:t>0</w:t>
            </w:r>
          </w:p>
        </w:tc>
        <w:tc>
          <w:tcPr>
            <w:tcW w:w="767" w:type="dxa"/>
            <w:vAlign w:val="center"/>
          </w:tcPr>
          <w:p>
            <w:pPr>
              <w:jc w:val="center"/>
              <w:rPr>
                <w:szCs w:val="21"/>
              </w:rPr>
            </w:pPr>
            <w:r>
              <w:rPr>
                <w:rFonts w:hint="eastAsia"/>
                <w:szCs w:val="21"/>
              </w:rPr>
              <w:t>0</w:t>
            </w:r>
          </w:p>
        </w:tc>
        <w:tc>
          <w:tcPr>
            <w:tcW w:w="709" w:type="dxa"/>
            <w:vAlign w:val="center"/>
          </w:tcPr>
          <w:p>
            <w:pPr>
              <w:jc w:val="center"/>
              <w:rPr>
                <w:szCs w:val="21"/>
              </w:rPr>
            </w:pPr>
            <w:r>
              <w:rPr>
                <w:rFonts w:hint="eastAsia"/>
                <w:szCs w:val="21"/>
              </w:rPr>
              <w:t>0</w:t>
            </w:r>
          </w:p>
        </w:tc>
        <w:tc>
          <w:tcPr>
            <w:tcW w:w="425" w:type="dxa"/>
            <w:vAlign w:val="center"/>
          </w:tcPr>
          <w:p>
            <w:pPr>
              <w:jc w:val="center"/>
              <w:rPr>
                <w:szCs w:val="21"/>
              </w:rPr>
            </w:pPr>
            <w:r>
              <w:rPr>
                <w:rFonts w:hint="eastAsia"/>
                <w:szCs w:val="21"/>
              </w:rPr>
              <w:t>0</w:t>
            </w:r>
          </w:p>
        </w:tc>
      </w:tr>
    </w:tbl>
    <w:p>
      <w:pPr>
        <w:spacing w:line="560" w:lineRule="exact"/>
        <w:ind w:firstLine="640" w:firstLineChars="200"/>
        <w:rPr>
          <w:rFonts w:ascii="黑体" w:hAnsi="黑体" w:eastAsia="黑体"/>
          <w:bCs/>
          <w:sz w:val="32"/>
          <w:szCs w:val="32"/>
        </w:rPr>
      </w:pPr>
      <w:r>
        <w:rPr>
          <w:rFonts w:hint="eastAsia" w:ascii="黑体" w:hAnsi="黑体" w:eastAsia="黑体"/>
          <w:bCs/>
          <w:sz w:val="32"/>
          <w:szCs w:val="32"/>
        </w:rPr>
        <w:t>五、存在的主要问题及改进情况</w:t>
      </w:r>
    </w:p>
    <w:p>
      <w:pPr>
        <w:pStyle w:val="8"/>
        <w:widowControl/>
        <w:spacing w:beforeAutospacing="0" w:afterAutospacing="0" w:line="560" w:lineRule="exact"/>
        <w:ind w:firstLine="646"/>
        <w:jc w:val="both"/>
        <w:rPr>
          <w:rFonts w:ascii="仿宋_GB2312" w:hAnsi="仿宋_GB2312" w:eastAsia="仿宋_GB2312" w:cs="仿宋_GB2312"/>
          <w:color w:val="333333"/>
          <w:sz w:val="32"/>
          <w:szCs w:val="32"/>
        </w:rPr>
      </w:pPr>
      <w:r>
        <w:rPr>
          <w:rStyle w:val="12"/>
          <w:rFonts w:hint="eastAsia" w:ascii="楷体" w:hAnsi="楷体" w:eastAsia="楷体" w:cs="楷体"/>
          <w:b w:val="0"/>
          <w:bCs/>
          <w:color w:val="333333"/>
          <w:sz w:val="32"/>
          <w:szCs w:val="32"/>
        </w:rPr>
        <w:t>1.存在的主要问题。</w:t>
      </w:r>
      <w:r>
        <w:rPr>
          <w:rFonts w:hint="eastAsia" w:ascii="仿宋_GB2312" w:hAnsi="仿宋_GB2312" w:eastAsia="仿宋_GB2312" w:cs="仿宋_GB2312"/>
          <w:color w:val="333333"/>
          <w:sz w:val="32"/>
          <w:szCs w:val="32"/>
        </w:rPr>
        <w:t>一是部分科室、直属单位和局属学校信息公开意识不强，主动公开基本目录内容保障的时效性有待进一步提高；二是目前政策解读仍以文字解读为主，政策解读的形式尚需进一步丰富。</w:t>
      </w:r>
    </w:p>
    <w:p>
      <w:pPr>
        <w:pStyle w:val="8"/>
        <w:widowControl/>
        <w:spacing w:beforeAutospacing="0" w:afterAutospacing="0" w:line="560" w:lineRule="exact"/>
        <w:ind w:firstLine="646"/>
        <w:jc w:val="both"/>
        <w:rPr>
          <w:rFonts w:ascii="仿宋_GB2312" w:hAnsi="仿宋_GB2312" w:eastAsia="仿宋_GB2312" w:cs="仿宋_GB2312"/>
          <w:color w:val="333333"/>
          <w:sz w:val="32"/>
          <w:szCs w:val="32"/>
        </w:rPr>
      </w:pPr>
      <w:r>
        <w:rPr>
          <w:rStyle w:val="12"/>
          <w:rFonts w:hint="eastAsia" w:ascii="楷体" w:hAnsi="楷体" w:eastAsia="楷体" w:cs="楷体"/>
          <w:b w:val="0"/>
          <w:bCs/>
          <w:color w:val="333333"/>
          <w:sz w:val="32"/>
          <w:szCs w:val="32"/>
        </w:rPr>
        <w:t>2.下一步工作打算。</w:t>
      </w:r>
      <w:r>
        <w:rPr>
          <w:rFonts w:hint="eastAsia" w:ascii="仿宋_GB2312" w:hAnsi="仿宋_GB2312" w:eastAsia="仿宋_GB2312" w:cs="仿宋_GB2312"/>
          <w:color w:val="333333"/>
          <w:sz w:val="32"/>
          <w:szCs w:val="32"/>
        </w:rPr>
        <w:t>一是加大信息公开培训和调度工作力度，督促科室、直属单位和局属学校形成及时发布政府信息的工作习惯，进一步提高主动公开的时效性；二是不断丰富政策解读形式，逐步增加图解、视频、动漫等形式的政策解读。</w:t>
      </w:r>
    </w:p>
    <w:p>
      <w:pPr>
        <w:spacing w:line="560" w:lineRule="exact"/>
        <w:ind w:firstLine="640" w:firstLineChars="200"/>
        <w:rPr>
          <w:rFonts w:ascii="黑体" w:hAnsi="黑体" w:eastAsia="黑体"/>
          <w:bCs/>
          <w:sz w:val="32"/>
          <w:szCs w:val="32"/>
        </w:rPr>
      </w:pPr>
      <w:r>
        <w:rPr>
          <w:rFonts w:hint="eastAsia" w:ascii="黑体" w:hAnsi="黑体" w:eastAsia="黑体"/>
          <w:bCs/>
          <w:sz w:val="32"/>
          <w:szCs w:val="32"/>
        </w:rPr>
        <w:t>六、其他需要报告的事项</w:t>
      </w:r>
    </w:p>
    <w:p>
      <w:pPr>
        <w:pStyle w:val="2"/>
        <w:spacing w:line="560" w:lineRule="exact"/>
        <w:ind w:firstLine="640" w:firstLineChars="200"/>
        <w:jc w:val="both"/>
        <w:rPr>
          <w:sz w:val="28"/>
          <w:szCs w:val="28"/>
        </w:rPr>
      </w:pPr>
      <w:r>
        <w:rPr>
          <w:rFonts w:hint="eastAsia" w:ascii="仿宋_GB2312" w:hAnsi="仿宋_GB2312" w:eastAsia="仿宋_GB2312" w:cs="仿宋_GB2312"/>
          <w:sz w:val="32"/>
          <w:szCs w:val="32"/>
        </w:rPr>
        <w:t>无</w:t>
      </w:r>
    </w:p>
    <w:sectPr>
      <w:footerReference r:id="rId3" w:type="default"/>
      <w:pgSz w:w="11906" w:h="16838"/>
      <w:pgMar w:top="2098" w:right="1474" w:bottom="1984"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4959"/>
      <w:docPartObj>
        <w:docPartGallery w:val="autotext"/>
      </w:docPartObj>
    </w:sdtPr>
    <w:sdtContent>
      <w:p>
        <w:pPr>
          <w:pStyle w:val="6"/>
          <w:jc w:val="center"/>
        </w:pPr>
        <w:r>
          <w:fldChar w:fldCharType="begin"/>
        </w:r>
        <w:r>
          <w:instrText xml:space="preserve"> PAGE   \* MERGEFORMAT </w:instrText>
        </w:r>
        <w:r>
          <w:fldChar w:fldCharType="separate"/>
        </w:r>
        <w:r>
          <w:rPr>
            <w:lang w:val="zh-CN"/>
          </w:rPr>
          <w:t>8</w:t>
        </w:r>
        <w:r>
          <w:rPr>
            <w:lang w:val="zh-CN"/>
          </w:rP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04258"/>
    <w:rsid w:val="00024810"/>
    <w:rsid w:val="000414C6"/>
    <w:rsid w:val="00087FF0"/>
    <w:rsid w:val="0013633A"/>
    <w:rsid w:val="00216261"/>
    <w:rsid w:val="00270C0E"/>
    <w:rsid w:val="002A188B"/>
    <w:rsid w:val="002B6F68"/>
    <w:rsid w:val="003D7EB2"/>
    <w:rsid w:val="00405DB6"/>
    <w:rsid w:val="00420F86"/>
    <w:rsid w:val="00481ED7"/>
    <w:rsid w:val="004D2882"/>
    <w:rsid w:val="0063535A"/>
    <w:rsid w:val="00697EE4"/>
    <w:rsid w:val="00714451"/>
    <w:rsid w:val="00717EE3"/>
    <w:rsid w:val="00732D81"/>
    <w:rsid w:val="00733F31"/>
    <w:rsid w:val="00741A40"/>
    <w:rsid w:val="00746739"/>
    <w:rsid w:val="007611C0"/>
    <w:rsid w:val="007F43FC"/>
    <w:rsid w:val="00847476"/>
    <w:rsid w:val="008515A0"/>
    <w:rsid w:val="00892DC4"/>
    <w:rsid w:val="00920A8C"/>
    <w:rsid w:val="00935E77"/>
    <w:rsid w:val="0096093C"/>
    <w:rsid w:val="00981DC5"/>
    <w:rsid w:val="00A0290E"/>
    <w:rsid w:val="00A93492"/>
    <w:rsid w:val="00AC222F"/>
    <w:rsid w:val="00AD49B5"/>
    <w:rsid w:val="00B56E3A"/>
    <w:rsid w:val="00BF42A9"/>
    <w:rsid w:val="00C61A42"/>
    <w:rsid w:val="00C75D99"/>
    <w:rsid w:val="00C762CA"/>
    <w:rsid w:val="00C86446"/>
    <w:rsid w:val="00CA24FE"/>
    <w:rsid w:val="00CD73FA"/>
    <w:rsid w:val="00D201BD"/>
    <w:rsid w:val="00D33F3A"/>
    <w:rsid w:val="00D7673F"/>
    <w:rsid w:val="00D774F0"/>
    <w:rsid w:val="00E03F11"/>
    <w:rsid w:val="00E04258"/>
    <w:rsid w:val="00E82A61"/>
    <w:rsid w:val="00EA3993"/>
    <w:rsid w:val="00FA3378"/>
    <w:rsid w:val="00FE3091"/>
    <w:rsid w:val="01617F1A"/>
    <w:rsid w:val="01674199"/>
    <w:rsid w:val="036C7823"/>
    <w:rsid w:val="04F00DF8"/>
    <w:rsid w:val="05A45799"/>
    <w:rsid w:val="07797E1E"/>
    <w:rsid w:val="09137F3A"/>
    <w:rsid w:val="09861C2E"/>
    <w:rsid w:val="09A80A08"/>
    <w:rsid w:val="0BB32791"/>
    <w:rsid w:val="0C9D30E8"/>
    <w:rsid w:val="0E3E47D6"/>
    <w:rsid w:val="10707B4B"/>
    <w:rsid w:val="11B370CC"/>
    <w:rsid w:val="123045F5"/>
    <w:rsid w:val="18234AEA"/>
    <w:rsid w:val="184339A1"/>
    <w:rsid w:val="196542BF"/>
    <w:rsid w:val="21635D0F"/>
    <w:rsid w:val="22007A22"/>
    <w:rsid w:val="22AD5DF4"/>
    <w:rsid w:val="24C20A8A"/>
    <w:rsid w:val="27012A97"/>
    <w:rsid w:val="29312232"/>
    <w:rsid w:val="2A1831EE"/>
    <w:rsid w:val="2A871776"/>
    <w:rsid w:val="2B8043FC"/>
    <w:rsid w:val="2C015E20"/>
    <w:rsid w:val="2F5032CE"/>
    <w:rsid w:val="2FD66DEC"/>
    <w:rsid w:val="31351857"/>
    <w:rsid w:val="323C0A20"/>
    <w:rsid w:val="32FE69A1"/>
    <w:rsid w:val="33E50CF2"/>
    <w:rsid w:val="34D90FA5"/>
    <w:rsid w:val="35940E57"/>
    <w:rsid w:val="38435BC2"/>
    <w:rsid w:val="3FA745A8"/>
    <w:rsid w:val="40691711"/>
    <w:rsid w:val="408D1AD9"/>
    <w:rsid w:val="425A61AA"/>
    <w:rsid w:val="4410562D"/>
    <w:rsid w:val="4418231B"/>
    <w:rsid w:val="46AF14E9"/>
    <w:rsid w:val="46F94200"/>
    <w:rsid w:val="47F17926"/>
    <w:rsid w:val="487121EF"/>
    <w:rsid w:val="48DF5948"/>
    <w:rsid w:val="498B4717"/>
    <w:rsid w:val="4AFD0894"/>
    <w:rsid w:val="4DE93206"/>
    <w:rsid w:val="4FB0409F"/>
    <w:rsid w:val="50C939D6"/>
    <w:rsid w:val="517B1C71"/>
    <w:rsid w:val="51B64794"/>
    <w:rsid w:val="521D79F7"/>
    <w:rsid w:val="527A264D"/>
    <w:rsid w:val="5299733E"/>
    <w:rsid w:val="53BA40CF"/>
    <w:rsid w:val="55233C53"/>
    <w:rsid w:val="58694348"/>
    <w:rsid w:val="5A56724D"/>
    <w:rsid w:val="5B944AB3"/>
    <w:rsid w:val="5C494522"/>
    <w:rsid w:val="5D9C5325"/>
    <w:rsid w:val="5DCD4835"/>
    <w:rsid w:val="5E740502"/>
    <w:rsid w:val="6055389A"/>
    <w:rsid w:val="60843509"/>
    <w:rsid w:val="62816BC2"/>
    <w:rsid w:val="62C4057F"/>
    <w:rsid w:val="62F26D5E"/>
    <w:rsid w:val="63615730"/>
    <w:rsid w:val="65A5653A"/>
    <w:rsid w:val="66CF581B"/>
    <w:rsid w:val="67AA5C88"/>
    <w:rsid w:val="696459A7"/>
    <w:rsid w:val="6ADF791C"/>
    <w:rsid w:val="70B35FB3"/>
    <w:rsid w:val="7292355D"/>
    <w:rsid w:val="776A7635"/>
    <w:rsid w:val="78B158C2"/>
    <w:rsid w:val="7A61203E"/>
    <w:rsid w:val="7DE4753D"/>
    <w:rsid w:val="7EBA2E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3"/>
    <w:qFormat/>
    <w:uiPriority w:val="0"/>
    <w:pPr>
      <w:spacing w:line="0" w:lineRule="atLeast"/>
      <w:jc w:val="center"/>
    </w:pPr>
    <w:rPr>
      <w:rFonts w:ascii="Arial" w:hAnsi="Arial" w:eastAsia="黑体"/>
      <w:sz w:val="52"/>
    </w:rPr>
  </w:style>
  <w:style w:type="paragraph" w:styleId="3">
    <w:name w:val="Body Text Indent"/>
    <w:basedOn w:val="1"/>
    <w:next w:val="1"/>
    <w:unhideWhenUsed/>
    <w:qFormat/>
    <w:uiPriority w:val="99"/>
    <w:pPr>
      <w:spacing w:after="120"/>
      <w:ind w:left="420" w:leftChars="200"/>
    </w:p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semiHidden/>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spacing w:beforeAutospacing="1" w:afterAutospacing="1"/>
      <w:jc w:val="left"/>
    </w:pPr>
    <w:rPr>
      <w:rFonts w:cs="Times New Roman"/>
      <w:kern w:val="0"/>
      <w:sz w:val="24"/>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qFormat/>
    <w:uiPriority w:val="22"/>
    <w:rPr>
      <w:b/>
    </w:rPr>
  </w:style>
  <w:style w:type="character" w:styleId="13">
    <w:name w:val="Hyperlink"/>
    <w:basedOn w:val="11"/>
    <w:semiHidden/>
    <w:unhideWhenUsed/>
    <w:qFormat/>
    <w:uiPriority w:val="99"/>
    <w:rPr>
      <w:color w:val="0000FF"/>
      <w:u w:val="single"/>
    </w:rPr>
  </w:style>
  <w:style w:type="character" w:customStyle="1" w:styleId="14">
    <w:name w:val="页眉 Char"/>
    <w:basedOn w:val="11"/>
    <w:link w:val="7"/>
    <w:semiHidden/>
    <w:uiPriority w:val="99"/>
    <w:rPr>
      <w:rFonts w:asciiTheme="minorHAnsi" w:hAnsiTheme="minorHAnsi" w:eastAsiaTheme="minorEastAsia" w:cstheme="minorBidi"/>
      <w:kern w:val="2"/>
      <w:sz w:val="18"/>
      <w:szCs w:val="18"/>
    </w:rPr>
  </w:style>
  <w:style w:type="character" w:customStyle="1" w:styleId="15">
    <w:name w:val="页脚 Char"/>
    <w:basedOn w:val="11"/>
    <w:link w:val="6"/>
    <w:qFormat/>
    <w:uiPriority w:val="99"/>
    <w:rPr>
      <w:rFonts w:asciiTheme="minorHAnsi" w:hAnsiTheme="minorHAnsi" w:eastAsiaTheme="minorEastAsia" w:cstheme="minorBidi"/>
      <w:kern w:val="2"/>
      <w:sz w:val="18"/>
      <w:szCs w:val="18"/>
    </w:rPr>
  </w:style>
  <w:style w:type="character" w:customStyle="1" w:styleId="16">
    <w:name w:val="批注框文本 Char"/>
    <w:basedOn w:val="11"/>
    <w:link w:val="5"/>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Pages>
  <Words>543</Words>
  <Characters>3097</Characters>
  <Lines>25</Lines>
  <Paragraphs>7</Paragraphs>
  <TotalTime>19</TotalTime>
  <ScaleCrop>false</ScaleCrop>
  <LinksUpToDate>false</LinksUpToDate>
  <CharactersWithSpaces>3633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2021-01-29T04:50:00Z</dcterms:created>
  <dc:creator>China</dc:creator>
  <cp:lastModifiedBy>晓风</cp:lastModifiedBy>
  <cp:lastPrinted>2021-01-29T01:31:00Z</cp:lastPrinted>
  <dcterms:modified xsi:type="dcterms:W3CDTF">2021-02-19T06:28:56Z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